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INTERVIEW CHECKLIST AND SCORING</w:t>
      </w:r>
    </w:p>
    <w:p>
      <w:pPr>
        <w:spacing w:before="0" w:after="160"/>
        <w:keepNext/>
      </w:pPr>
      <w:r>
        <w:rPr>
          <w:rFonts w:ascii="Open Sans" w:hAnsi="Open Sans"/>
          <w:color w:val="6B6870"/>
          <w:sz w:val="20"/>
        </w:rPr>
        <w:t>Template C4 | Preparation, questions, scoring and the decision record | Employment Equity Act 55 of 1998</w:t>
      </w:r>
    </w:p>
    <w:p>
      <w:pPr>
        <w:spacing w:before="0" w:after="200"/>
        <w:pBdr>
          <w:bottom w:val="single" w:sz="12" w:space="1" w:color="D7B428"/>
        </w:pBdr>
      </w:pPr>
    </w:p>
    <w:p>
      <w:pPr>
        <w:pStyle w:val="Heading1"/>
      </w:pPr>
      <w:r>
        <w:t>Why this pack exists</w:t>
      </w:r>
    </w:p>
    <w:p>
      <w:pPr>
        <w:spacing w:after="120" w:before="0"/>
      </w:pPr>
      <w:r>
        <w:rPr>
          <w:rFonts w:ascii="Open Sans" w:hAnsi="Open Sans"/>
          <w:b w:val="0"/>
          <w:i w:val="0"/>
          <w:sz w:val="21"/>
        </w:rPr>
        <w:t>Hiring is the one decision a small business makes that is hard to undo. A bad appointment costs you three months of wages, the customers the person annoyed, and the time it takes to run a fair dismissal. This pack does two things: it makes the interview structured, so you compare people on the same things, and it leaves a written record, so you can show why you appointed the person you appointed.</w:t>
      </w:r>
    </w:p>
    <w:p>
      <w:pPr>
        <w:spacing w:after="120" w:before="0"/>
      </w:pPr>
      <w:r>
        <w:rPr>
          <w:rFonts w:ascii="Open Sans" w:hAnsi="Open Sans"/>
          <w:b w:val="0"/>
          <w:i w:val="0"/>
          <w:sz w:val="21"/>
        </w:rPr>
        <w:t>The record matters more than most employers realise. Section 9 of the Employment Equity Act says that for the purposes of the discrimination sections, an "employee" includes an applicant for employment. A candidate you never employed can take you to the Labour Court and say you did not appoint them because of their race, their gender, their pregnancy, their age or their disability. Where the complaint is on one of the listed grounds, the Act puts the burden on you: you have to prove that the discrimination did not happen, or that it was rational and not unfair. A scoring sheet with the criteria agreed before anybody was interviewed, filled in at the time, is what discharges that burden. A memory of a good conversation is not.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discrimination dispute is referred within six months of the act complained of. An employee who earns above the earnings threshold takes a Chapter II discrimination claim to the Labour Court rather than to CCMA arbitration, unless it is sexual harassment or both sides consent. Either way, you will be asked for the paperwork, and you will be asked for it months after the interview.</w:t>
      </w:r>
    </w:p>
    <w:p>
      <w:pPr>
        <w:pStyle w:val="Heading1"/>
      </w:pPr>
      <w:r>
        <w:t>Part 1: preparation checklist</w:t>
      </w:r>
    </w:p>
    <w:p>
      <w:pPr>
        <w:spacing w:after="120" w:before="0"/>
      </w:pPr>
      <w:r>
        <w:rPr>
          <w:rFonts w:ascii="Open Sans" w:hAnsi="Open Sans"/>
          <w:b w:val="0"/>
          <w:i w:val="0"/>
          <w:sz w:val="21"/>
        </w:rPr>
        <w:t>Do all of this before you speak to the first candidate. Most of it takes an afternoon once, and then it is reusable.</w:t>
      </w:r>
    </w:p>
    <w:tbl>
      <w:tblPr>
        <w:tblW w:type="dxa" w:w="9025"/>
        <w:jc w:val="center"/>
        <w:tblLayout w:type="fixed"/>
        <w:tblLook w:firstColumn="1" w:firstRow="1" w:lastColumn="0" w:lastRow="0" w:noHBand="0" w:noVBand="1" w:val="04A0"/>
      </w:tblPr>
      <w:tblGrid>
        <w:gridCol w:w="722"/>
        <w:gridCol w:w="3429"/>
        <w:gridCol w:w="4874"/>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STEP</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IT MATTERS</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Write the job description first, and be honest about it</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cannot score people against a standard you have not written down. Use Annexure A of your contract of employment.</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List the inherent requirements of the job separately</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Act allows you to distinguish between people on the inherent requirements of the job. It does not allow you to distinguish on anything else, so be clear about which is which.</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Agree the selection criteria and their weights before advertising</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Criteria chosen after the interviews look like criteria chosen to fit the person you liked.</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Write the questions, the same ones for every candidate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Comparable answers. It is also the simplest protection against asking somebody something you should not have.</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Decide who is on the panel, ideally two people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Two people scoring separately, then comparing, beats one person's gut feel. Where you can, make the panel mixed.</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Book a private space and enough time</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Forty five minutes per candidate for a supervisory role, thirty for a general one. Interviewing somebody across a counter in front of customers tells them what kind of employer you are.</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Send the candidate the details in writing</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Date, time, place, how long, who will be there, what to bring, and whether there is a practical test.</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about reasonable accommodation before the interview</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One line in the invitation: please tell us if you need any adjustment to take part in the interview. That is all it takes, and it is required thinking under the disability provisions.</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Prepare the practical test if the job needs one</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 a trade, a till, a kitchen or a keyboard, a short practical test tells you more than any interview question. Give every candidate the same test and the same time.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Print one scoring sheet per candidate per interviewer</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Score during or immediately after the interview, not at the end of the day.</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Prepare the POPIA notice and the consent forms</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Consent to process personal information, to check references, to verify qualifications, and to run a criminal record check where the job justifies one.</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 what you will tell unsuccessful candidates</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short, respectful message. You are not obliged to give detailed reasons, but you must never give a reason that is not the real one.</w:t>
            </w:r>
          </w:p>
        </w:tc>
      </w:tr>
    </w:tbl>
    <w:p>
      <w:r>
        <w:br w:type="page"/>
      </w:r>
    </w:p>
    <w:p>
      <w:pPr>
        <w:pStyle w:val="Heading1"/>
      </w:pPr>
      <w:r>
        <w:t>Part 2: questions you may not ask</w:t>
      </w:r>
    </w:p>
    <w:p>
      <w:pPr>
        <w:spacing w:after="120" w:before="0"/>
      </w:pPr>
      <w:r>
        <w:rPr>
          <w:rFonts w:ascii="Open Sans" w:hAnsi="Open Sans"/>
          <w:b w:val="0"/>
          <w:i w:val="0"/>
          <w:sz w:val="21"/>
        </w:rPr>
        <w:t>Section 6 of the Employment Equity Act prohibits unfair discrimination, directly or indirectly, on any of these grounds: race, gender, sex, pregnancy, marital status, family responsibility, ethnic or social origin, colour, sexual orientation, age, disability, religion, HIV status, conscience, belief, political opinion, culture, language, birth, and any other arbitrary ground. Two things are not unfair discrimination: affirmative action measures consistent with the Act, and distinguishing between people on the inherent requirements of the job.</w:t>
      </w:r>
    </w:p>
    <w:p>
      <w:pPr>
        <w:spacing w:after="120" w:before="0"/>
      </w:pPr>
      <w:r>
        <w:rPr>
          <w:rFonts w:ascii="Open Sans" w:hAnsi="Open Sans"/>
          <w:b w:val="0"/>
          <w:i w:val="0"/>
          <w:sz w:val="21"/>
        </w:rPr>
        <w:t>So the test for any question is simple. Are you asking about something the job actually requires, or are you asking about the person's life? Almost every unlawful question has a lawful version that gets you better information anyway, because it asks about the requirement instead of guessing at it.</w:t>
      </w:r>
    </w:p>
    <w:tbl>
      <w:tblPr>
        <w:tblW w:type="dxa" w:w="9025"/>
        <w:jc w:val="center"/>
        <w:tblLayout w:type="fixed"/>
        <w:tblLook w:firstColumn="1" w:firstRow="1" w:lastColumn="0" w:lastRow="0" w:noHBand="0" w:noVBand="1" w:val="04A0"/>
      </w:tblPr>
      <w:tblGrid>
        <w:gridCol w:w="2346"/>
        <w:gridCol w:w="3520"/>
        <w:gridCol w:w="315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 NOT ASK</w:t>
            </w:r>
          </w:p>
        </w:tc>
        <w:tc>
          <w:tcPr>
            <w:tcW w:type="dxa" w:w="352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ASK THIS INSTEAD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you married? Do you have children? Who looks after them?</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Marital status and family responsibility are listed grounds, and these questions are almost always asked of women and not of men.</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job starts at 06:00 and includes one Saturday a month. Are you able to work that schedule?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you pregnant? Are you planning to have children?</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Pregnancy is a listed ground. Refusing to appoint somebody because she is pregnant, or might become pregnant, is discrimination, and dismissing for that reason is automatically unfair.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The role involves lifting up to </w:t>
            </w:r>
            <w:r>
              <w:rPr>
                <w:rFonts w:ascii="Open Sans" w:hAnsi="Open Sans"/>
                <w:b w:val="0"/>
                <w:i w:val="0"/>
                <w:color w:val="21759B"/>
                <w:sz w:val="18"/>
              </w:rPr>
              <w:t>[25]</w:t>
            </w:r>
            <w:r>
              <w:rPr>
                <w:rFonts w:ascii="Open Sans" w:hAnsi="Open Sans"/>
                <w:b w:val="0"/>
                <w:i w:val="0"/>
                <w:sz w:val="18"/>
              </w:rPr>
              <w:t xml:space="preserve"> kilograms and standing for most of the shift. Are you able to do that, with or without an adjustment?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How old are you? What year did you matriculate?</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Age is a listed ground, and asking the matric year is asking the age with extra steps.</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The role needs </w:t>
            </w:r>
            <w:r>
              <w:rPr>
                <w:rFonts w:ascii="Open Sans" w:hAnsi="Open Sans"/>
                <w:b w:val="0"/>
                <w:i w:val="0"/>
                <w:color w:val="21759B"/>
                <w:sz w:val="18"/>
              </w:rPr>
              <w:t>[3]</w:t>
            </w:r>
            <w:r>
              <w:rPr>
                <w:rFonts w:ascii="Open Sans" w:hAnsi="Open Sans"/>
                <w:b w:val="0"/>
                <w:i w:val="0"/>
                <w:sz w:val="18"/>
              </w:rPr>
              <w:t xml:space="preserve"> years of experience in </w:t>
            </w:r>
            <w:r>
              <w:rPr>
                <w:rFonts w:ascii="Open Sans" w:hAnsi="Open Sans"/>
                <w:b w:val="0"/>
                <w:i w:val="0"/>
                <w:color w:val="21759B"/>
                <w:sz w:val="18"/>
              </w:rPr>
              <w:t>[the specific work]</w:t>
            </w:r>
            <w:r>
              <w:rPr>
                <w:rFonts w:ascii="Open Sans" w:hAnsi="Open Sans"/>
                <w:b w:val="0"/>
                <w:i w:val="0"/>
                <w:sz w:val="18"/>
              </w:rPr>
              <w:t>. Take me through where you got yours.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Which church do you go to? Will you want religious holidays off?</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Religion, conscience and belief are listed grounds.</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roster runs Monday to Saturday. Is there anything about your availability we should build into the roster?</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is your home language? Where are you originally from?</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Language, culture, ethnic or social origin and birth are all listed grounds.</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You would be serving customers in </w:t>
            </w:r>
            <w:r>
              <w:rPr>
                <w:rFonts w:ascii="Open Sans" w:hAnsi="Open Sans"/>
                <w:b w:val="0"/>
                <w:i w:val="0"/>
                <w:color w:val="21759B"/>
                <w:sz w:val="18"/>
              </w:rPr>
              <w:t>[English and isiZulu]</w:t>
            </w:r>
            <w:r>
              <w:rPr>
                <w:rFonts w:ascii="Open Sans" w:hAnsi="Open Sans"/>
                <w:b w:val="0"/>
                <w:i w:val="0"/>
                <w:sz w:val="18"/>
              </w:rPr>
              <w:t>. How comfortable are you working in each?</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Have you ever been tested for HIV? What is your status?</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HIV status is a listed ground, and testing without Labour Court authorisation is prohibited outright. There is no version of this question you may ask.</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Ask about the inherent requirements of the job and nothing else.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you have a disability? What happened to you?</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Disability is a listed ground, and the question invites an answer you are not entitled to have.</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These are the essential tasks of the job. Is there any reasonable accommodation you would need in order to do them?</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Which party do you support? Are you in a union?</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Political opinion is a listed ground, and discriminating against somebody for union membership is separately unlawful under section 5 of the Labour Relations Act.</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It has no bearing on any job.</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Are you a South African? What nationality are you?</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Social origin and birth are listed grounds. What you actually need to know is narrower, and it is a document question.</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you have the right to work in South Africa, and can you show us the document that proves it, an identity document, a permanent residence permit or a valid work visa?</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do you live? Do you have your own car?</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Home address is often a proxy for race or social origin, and few people starting out own a car.</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This site is in </w:t>
            </w:r>
            <w:r>
              <w:rPr>
                <w:rFonts w:ascii="Open Sans" w:hAnsi="Open Sans"/>
                <w:b w:val="0"/>
                <w:i w:val="0"/>
                <w:color w:val="21759B"/>
                <w:sz w:val="18"/>
              </w:rPr>
              <w:t>[Midrand]</w:t>
            </w:r>
            <w:r>
              <w:rPr>
                <w:rFonts w:ascii="Open Sans" w:hAnsi="Open Sans"/>
                <w:b w:val="0"/>
                <w:i w:val="0"/>
                <w:sz w:val="18"/>
              </w:rPr>
              <w:t xml:space="preserve"> and the shift starts at </w:t>
            </w:r>
            <w:r>
              <w:rPr>
                <w:rFonts w:ascii="Open Sans" w:hAnsi="Open Sans"/>
                <w:b w:val="0"/>
                <w:i w:val="0"/>
                <w:color w:val="21759B"/>
                <w:sz w:val="18"/>
              </w:rPr>
              <w:t>[07:00]</w:t>
            </w:r>
            <w:r>
              <w:rPr>
                <w:rFonts w:ascii="Open Sans" w:hAnsi="Open Sans"/>
                <w:b w:val="0"/>
                <w:i w:val="0"/>
                <w:sz w:val="18"/>
              </w:rPr>
              <w:t>. Are you able to get here reliably at that time?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are you earning now?</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a listed ground, but it carries the last employer's pay discrimination into your business, and equal pay for work of equal value is a discrimination issue under section 6(4).</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The range for this role is R </w:t>
            </w:r>
            <w:r>
              <w:rPr>
                <w:rFonts w:ascii="Open Sans" w:hAnsi="Open Sans"/>
                <w:b w:val="0"/>
                <w:i w:val="0"/>
                <w:color w:val="21759B"/>
                <w:sz w:val="18"/>
              </w:rPr>
              <w:t>[amount]</w:t>
            </w:r>
            <w:r>
              <w:rPr>
                <w:rFonts w:ascii="Open Sans" w:hAnsi="Open Sans"/>
                <w:b w:val="0"/>
                <w:i w:val="0"/>
                <w:sz w:val="18"/>
              </w:rPr>
              <w:t xml:space="preserve"> to R </w:t>
            </w:r>
            <w:r>
              <w:rPr>
                <w:rFonts w:ascii="Open Sans" w:hAnsi="Open Sans"/>
                <w:b w:val="0"/>
                <w:i w:val="0"/>
                <w:color w:val="21759B"/>
                <w:sz w:val="18"/>
              </w:rPr>
              <w:t>[amount]</w:t>
            </w:r>
            <w:r>
              <w:rPr>
                <w:rFonts w:ascii="Open Sans" w:hAnsi="Open Sans"/>
                <w:b w:val="0"/>
                <w:i w:val="0"/>
                <w:sz w:val="18"/>
              </w:rPr>
              <w:t xml:space="preserve"> a month. Does that work for you?</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Do you have a criminal record?</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may ask where the job genuinely justifies it, for example cash handling or working in people's homes. A blanket exclusion for any job at all is what gets attacked.</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role handles cash daily, so we run a criminal record check with your written consent. Is there anything you would like to tell us about first?</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Nobody is going to arrest you for asking a friendly question about somebody's children. The risk is different and slower: the candidate is not appointed, they remember the question, and six months later it appears in a statement of claim as the reason they say you did not appoint them. Because it is a listed ground, you then have to prove that it was not the reason.</w:t>
      </w:r>
    </w:p>
    <w:p>
      <w:pPr>
        <w:pStyle w:val="Heading2"/>
      </w:pPr>
      <w:r>
        <w:t>Testing candidates</w:t>
      </w:r>
    </w:p>
    <w:p>
      <w:pPr>
        <w:pStyle w:val="ListBullet"/>
        <w:spacing w:after="60"/>
        <w:ind w:left="340"/>
      </w:pPr>
      <w:r>
        <w:rPr>
          <w:rFonts w:ascii="Open Sans" w:hAnsi="Open Sans"/>
          <w:b w:val="0"/>
          <w:i w:val="0"/>
          <w:sz w:val="21"/>
        </w:rPr>
        <w:t>Medical testing is prohibited unless legislation permits or requires it, or it is justifiable in the light of medical facts, employment conditions, social policy, the fair distribution of employee benefits, or the inherent requirements of the job (section 7(1)). A food handler's health certificate or a fitness test for an underground job can be justified. A general medical for a shop assistant cannot.</w:t>
      </w:r>
    </w:p>
    <w:p>
      <w:pPr>
        <w:pStyle w:val="ListBullet"/>
        <w:spacing w:after="60"/>
        <w:ind w:left="340"/>
      </w:pPr>
      <w:r>
        <w:rPr>
          <w:rFonts w:ascii="Open Sans" w:hAnsi="Open Sans"/>
          <w:b w:val="0"/>
          <w:i w:val="0"/>
          <w:sz w:val="21"/>
        </w:rPr>
        <w:t>Testing a person to determine their HIV status is prohibited unless the Labour Court has determined that the testing is justifiable, under section 50(4). You do not get there by asking the candidate to consent. Voluntary counselling and testing that the employee chooses, anonymously, is a different thing entirely.</w:t>
      </w:r>
    </w:p>
    <w:p>
      <w:pPr>
        <w:pStyle w:val="ListBullet"/>
        <w:spacing w:after="60"/>
        <w:ind w:left="340"/>
      </w:pPr>
      <w:r>
        <w:rPr>
          <w:rFonts w:ascii="Open Sans" w:hAnsi="Open Sans"/>
          <w:b w:val="0"/>
          <w:i w:val="0"/>
          <w:sz w:val="21"/>
        </w:rPr>
        <w:t>Psychological testing and other similar assessments are prohibited unless the test has been scientifically shown to be valid and reliable, can be applied fairly to everybody, is not biased against any person or group, and is certified by the Health Professions Council of South Africa or another body authorised by law (section 8). A personality quiz off the internet meets none of those.</w:t>
      </w:r>
    </w:p>
    <w:p>
      <w:pPr>
        <w:pStyle w:val="ListBullet"/>
        <w:spacing w:after="60"/>
        <w:ind w:left="340"/>
      </w:pPr>
      <w:r>
        <w:rPr>
          <w:rFonts w:ascii="Open Sans" w:hAnsi="Open Sans"/>
          <w:b w:val="0"/>
          <w:i w:val="0"/>
          <w:sz w:val="21"/>
        </w:rPr>
        <w:t>A practical work test is not psychological testing. Ask a bricklayer to lay bricks, a cook to cook, a bookkeeper to reconcile a short bank statement. Give everybody the same task, the same time and the same materials, and mark it against a written standard.</w:t>
      </w:r>
    </w:p>
    <w:p>
      <w:r>
        <w:br w:type="page"/>
      </w:r>
    </w:p>
    <w:p>
      <w:pPr>
        <w:pStyle w:val="Heading1"/>
      </w:pPr>
      <w:r>
        <w:t>Part 3: the interview guide</w:t>
      </w:r>
    </w:p>
    <w:tbl>
      <w:tblPr>
        <w:tblW w:type="dxa" w:w="9025"/>
        <w:jc w:val="center"/>
        <w:tblLayout w:type="fixed"/>
        <w:tblLook w:firstColumn="1" w:firstRow="1" w:lastColumn="0" w:lastRow="0" w:noHBand="0" w:noVBand="1" w:val="04A0"/>
      </w:tblPr>
      <w:tblGrid>
        <w:gridCol w:w="2346"/>
        <w:gridCol w:w="6679"/>
      </w:tblGrid>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Position</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Candidate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and time</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Interviewers</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and designation]</w:t>
            </w:r>
            <w:r>
              <w:rPr>
                <w:rFonts w:ascii="Open Sans" w:hAnsi="Open Sans"/>
                <w:b w:val="0"/>
                <w:i w:val="0"/>
                <w:sz w:val="21"/>
              </w:rPr>
              <w:t xml:space="preserve"> and </w:t>
            </w:r>
            <w:r>
              <w:rPr>
                <w:rFonts w:ascii="Open Sans" w:hAnsi="Open Sans"/>
                <w:b w:val="0"/>
                <w:i w:val="0"/>
                <w:color w:val="21759B"/>
                <w:sz w:val="21"/>
              </w:rPr>
              <w:t>[Name and designation]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Interview number</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  ]</w:t>
            </w:r>
            <w:r>
              <w:rPr>
                <w:rFonts w:ascii="Open Sans" w:hAnsi="Open Sans"/>
                <w:b w:val="0"/>
                <w:i w:val="0"/>
                <w:sz w:val="21"/>
              </w:rPr>
              <w:t xml:space="preserve"> of </w:t>
            </w:r>
            <w:r>
              <w:rPr>
                <w:rFonts w:ascii="Open Sans" w:hAnsi="Open Sans"/>
                <w:b w:val="0"/>
                <w:i w:val="0"/>
                <w:color w:val="21759B"/>
                <w:sz w:val="21"/>
              </w:rPr>
              <w:t>[  ]</w:t>
            </w:r>
          </w:p>
        </w:tc>
      </w:tr>
    </w:tbl>
    <w:p>
      <w:pPr>
        <w:pStyle w:val="Heading2"/>
      </w:pPr>
      <w:r>
        <w:t>Opening, five minutes</w:t>
      </w:r>
    </w:p>
    <w:p>
      <w:pPr>
        <w:pStyle w:val="ListBullet"/>
        <w:spacing w:after="60"/>
        <w:ind w:left="340"/>
      </w:pPr>
      <w:r>
        <w:rPr>
          <w:rFonts w:ascii="Open Sans" w:hAnsi="Open Sans"/>
          <w:b w:val="0"/>
          <w:i w:val="0"/>
          <w:sz w:val="21"/>
        </w:rPr>
        <w:t>Greet the candidate by name, introduce everybody in the room and say what each person does.</w:t>
      </w:r>
    </w:p>
    <w:p>
      <w:pPr>
        <w:pStyle w:val="ListBullet"/>
        <w:spacing w:after="60"/>
        <w:ind w:left="340"/>
      </w:pPr>
      <w:r>
        <w:rPr>
          <w:rFonts w:ascii="Open Sans" w:hAnsi="Open Sans"/>
          <w:b w:val="0"/>
          <w:i w:val="0"/>
          <w:sz w:val="21"/>
        </w:rPr>
        <w:t>Explain the shape of the interview: how long, that you will take notes, that you will score against set criteria, and when they will hear from you.</w:t>
      </w:r>
    </w:p>
    <w:p>
      <w:pPr>
        <w:pStyle w:val="ListBullet"/>
        <w:spacing w:after="60"/>
        <w:ind w:left="340"/>
      </w:pPr>
      <w:r>
        <w:rPr>
          <w:rFonts w:ascii="Open Sans" w:hAnsi="Open Sans"/>
          <w:b w:val="0"/>
          <w:i w:val="0"/>
          <w:sz w:val="21"/>
        </w:rPr>
        <w:t>Say what the job is, honestly. The hours, the pay range, the physical demands, the Saturdays, the load shedding shifts, the travelling.</w:t>
      </w:r>
    </w:p>
    <w:p>
      <w:pPr>
        <w:pStyle w:val="ListBullet"/>
        <w:spacing w:after="60"/>
        <w:ind w:left="340"/>
      </w:pPr>
      <w:r>
        <w:rPr>
          <w:rFonts w:ascii="Open Sans" w:hAnsi="Open Sans"/>
          <w:b w:val="0"/>
          <w:i w:val="0"/>
          <w:sz w:val="21"/>
        </w:rPr>
        <w:t>Confirm the POPIA notice and get the consent form signed before you start.</w:t>
      </w:r>
    </w:p>
    <w:p>
      <w:pPr>
        <w:pStyle w:val="ListBullet"/>
        <w:spacing w:after="60"/>
        <w:ind w:left="340"/>
      </w:pPr>
      <w:r>
        <w:rPr>
          <w:rFonts w:ascii="Open Sans" w:hAnsi="Open Sans"/>
          <w:b w:val="0"/>
          <w:i w:val="0"/>
          <w:sz w:val="21"/>
        </w:rPr>
        <w:t>Ask an easy opening question so the person can settle: tell us what you are doing at the moment and what made you apply for this job.</w:t>
      </w:r>
    </w:p>
    <w:p>
      <w:pPr>
        <w:pStyle w:val="Heading2"/>
      </w:pPr>
      <w:r>
        <w:t>Competency questions: the ones that actually predict performance</w:t>
      </w:r>
    </w:p>
    <w:p>
      <w:pPr>
        <w:spacing w:after="120" w:before="0"/>
      </w:pPr>
      <w:r>
        <w:rPr>
          <w:rFonts w:ascii="Open Sans" w:hAnsi="Open Sans"/>
          <w:b w:val="0"/>
          <w:i w:val="0"/>
          <w:sz w:val="21"/>
        </w:rPr>
        <w:t>Ask about what the person has done, not what they would do. A question that starts with "tell me about a time when" gets you a real event. A question that starts with "how would you handle" gets you a well rehearsed opinion. Then push for the detail using the four steps: what was the situation, what were you asked to do, what did you personally do, and what happened in the end.</w:t>
      </w:r>
    </w:p>
    <w:tbl>
      <w:tblPr>
        <w:tblW w:type="dxa" w:w="9025"/>
        <w:jc w:val="center"/>
        <w:tblLayout w:type="fixed"/>
        <w:tblLook w:firstColumn="1" w:firstRow="1" w:lastColumn="0" w:lastRow="0" w:noHBand="0" w:noVBand="1" w:val="04A0"/>
      </w:tblPr>
      <w:tblGrid>
        <w:gridCol w:w="1805"/>
        <w:gridCol w:w="3790"/>
        <w:gridCol w:w="342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ARE TESTING</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A GOOD ANSWER SOUNDS LIKE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Reliability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a time you had to be somewhere on time and something went wrong on the way. What did you do?</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specific morning, a specific problem, a plan that was made in advance, and somebody who was told.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Handling a difficult customer</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the angriest customer you have dealt with. What was the complaint and how did it end?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complaint stated fairly, an attempt to fix it, and knowing when to call the owner. Not blaming the customer for everything.</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Honesty with money or stock</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a time your till or your stock did not balance. What did you do about it?</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Reported it the same day, without being asked. A candidate who says it has never once happened has probably never counted.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Working under pressure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Describe your busiest day in your last job. What made it hard and what did you do first?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Prioritising, asking for help, and finishing. Detail, not adjectives.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Taking instruction and feedback</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a time a manager told you that you had done something wrong. How did you take it?</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correction stated accurately, and evidence that something changed afterwards.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Teamwork</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a time you had to cover for somebody who was not pulling their weight.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Practical, not resentful. Raised it appropriately rather than either sulking or reporting immediately.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Safety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an unsafe situation you have seen at work. What did you do?</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Stopped, reported it, and knows why. Especially important on a site, in a kitchen or around machinery.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Initiative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Tell me about something you changed or improved without being asked.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small, real, specific improvement. Small is fine. Vague is not.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Learning the job</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What is the hardest thing you have had to learn at work, and how did you learn it?</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method, not just enthusiasm.</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Reason for leaving</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Why did you leave your last job, and how would that employer describe you?</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Consistent with what the reference later says. Note the answer, because you will check it.</w:t>
            </w:r>
          </w:p>
        </w:tc>
      </w:tr>
    </w:tbl>
    <w:p>
      <w:pPr>
        <w:pStyle w:val="Heading2"/>
      </w:pPr>
      <w:r>
        <w:t>Role specific questions: add four or five of your own</w:t>
      </w:r>
    </w:p>
    <w:p>
      <w:pPr>
        <w:spacing w:after="120" w:before="0"/>
      </w:pPr>
      <w:r>
        <w:rPr>
          <w:rFonts w:ascii="Open Sans" w:hAnsi="Open Sans"/>
          <w:b w:val="0"/>
          <w:i w:val="0"/>
          <w:sz w:val="21"/>
        </w:rPr>
        <w:t>Replace these with the ones that matter in your business. These are examples of the level of detail to aim for.</w:t>
      </w:r>
    </w:p>
    <w:p>
      <w:pPr>
        <w:pStyle w:val="ListBullet"/>
        <w:spacing w:after="60"/>
        <w:ind w:left="340"/>
      </w:pPr>
      <w:r>
        <w:rPr>
          <w:rFonts w:ascii="Open Sans" w:hAnsi="Open Sans"/>
          <w:b w:val="0"/>
          <w:i w:val="0"/>
          <w:sz w:val="21"/>
        </w:rPr>
        <w:t>Construction: walk me through how you set out a corner and check it is square. What do you do when the delivery arrives short?</w:t>
      </w:r>
    </w:p>
    <w:p>
      <w:pPr>
        <w:pStyle w:val="ListBullet"/>
        <w:spacing w:after="60"/>
        <w:ind w:left="340"/>
      </w:pPr>
      <w:r>
        <w:rPr>
          <w:rFonts w:ascii="Open Sans" w:hAnsi="Open Sans"/>
          <w:b w:val="0"/>
          <w:i w:val="0"/>
          <w:sz w:val="21"/>
        </w:rPr>
        <w:t>Hair and beauty: a client asks for a colour that will not work on the hair she has walked in with. What do you say to her?</w:t>
      </w:r>
    </w:p>
    <w:p>
      <w:pPr>
        <w:pStyle w:val="ListBullet"/>
        <w:spacing w:after="60"/>
        <w:ind w:left="340"/>
      </w:pPr>
      <w:r>
        <w:rPr>
          <w:rFonts w:ascii="Open Sans" w:hAnsi="Open Sans"/>
          <w:b w:val="0"/>
          <w:i w:val="0"/>
          <w:sz w:val="21"/>
        </w:rPr>
        <w:t>Food: the power goes off at 11:00 and you have a full fridge and a lunch service at 12:00. What is your order of doing things?</w:t>
      </w:r>
    </w:p>
    <w:p>
      <w:pPr>
        <w:pStyle w:val="ListBullet"/>
        <w:spacing w:after="60"/>
        <w:ind w:left="340"/>
      </w:pPr>
      <w:r>
        <w:rPr>
          <w:rFonts w:ascii="Open Sans" w:hAnsi="Open Sans"/>
          <w:b w:val="0"/>
          <w:i w:val="0"/>
          <w:sz w:val="21"/>
        </w:rPr>
        <w:t>Retail and spaza: how do you count stock on a Friday afternoon with customers in the shop? What do you do when a regular customer asks for credit?</w:t>
      </w:r>
    </w:p>
    <w:p>
      <w:pPr>
        <w:pStyle w:val="ListBullet"/>
        <w:spacing w:after="60"/>
        <w:ind w:left="340"/>
      </w:pPr>
      <w:r>
        <w:rPr>
          <w:rFonts w:ascii="Open Sans" w:hAnsi="Open Sans"/>
          <w:b w:val="0"/>
          <w:i w:val="0"/>
          <w:sz w:val="21"/>
        </w:rPr>
        <w:t>Agriculture: what do you check before you start the tractor, and what would make you refuse to start it?</w:t>
      </w:r>
    </w:p>
    <w:p>
      <w:pPr>
        <w:pStyle w:val="ListBullet"/>
        <w:spacing w:after="60"/>
        <w:ind w:left="340"/>
      </w:pPr>
      <w:r>
        <w:rPr>
          <w:rFonts w:ascii="Open Sans" w:hAnsi="Open Sans"/>
          <w:b w:val="0"/>
          <w:i w:val="0"/>
          <w:sz w:val="21"/>
        </w:rPr>
        <w:t>Office and admin: reconcile this bank statement against these three invoices and tell me what is missing.</w:t>
      </w:r>
    </w:p>
    <w:p>
      <w:pPr>
        <w:pStyle w:val="Heading2"/>
      </w:pPr>
      <w:r>
        <w:t>Practical matters, then close</w:t>
      </w:r>
    </w:p>
    <w:p>
      <w:pPr>
        <w:pStyle w:val="ListBullet"/>
        <w:spacing w:after="60"/>
        <w:ind w:left="340"/>
      </w:pPr>
      <w:r>
        <w:rPr>
          <w:rFonts w:ascii="Open Sans" w:hAnsi="Open Sans"/>
          <w:b w:val="0"/>
          <w:i w:val="0"/>
          <w:sz w:val="21"/>
        </w:rPr>
        <w:t>When could you start? What notice do you have to give your current employer?</w:t>
      </w:r>
    </w:p>
    <w:p>
      <w:pPr>
        <w:pStyle w:val="ListBullet"/>
        <w:spacing w:after="60"/>
        <w:ind w:left="340"/>
      </w:pPr>
      <w:r>
        <w:rPr>
          <w:rFonts w:ascii="Open Sans" w:hAnsi="Open Sans"/>
          <w:b w:val="0"/>
          <w:i w:val="0"/>
          <w:sz w:val="21"/>
        </w:rPr>
        <w:t>Do you have the right to work in South Africa, and can you bring the document?</w:t>
      </w:r>
    </w:p>
    <w:p>
      <w:pPr>
        <w:pStyle w:val="ListBullet"/>
        <w:spacing w:after="60"/>
        <w:ind w:left="340"/>
      </w:pPr>
      <w:r>
        <w:rPr>
          <w:rFonts w:ascii="Open Sans" w:hAnsi="Open Sans"/>
          <w:b w:val="0"/>
          <w:i w:val="0"/>
          <w:sz w:val="21"/>
        </w:rPr>
        <w:t>Do you have the licence, registration or certificate this job requires, and is it current?</w:t>
      </w:r>
    </w:p>
    <w:p>
      <w:pPr>
        <w:pStyle w:val="ListBullet"/>
        <w:spacing w:after="60"/>
        <w:ind w:left="340"/>
      </w:pPr>
      <w:r>
        <w:rPr>
          <w:rFonts w:ascii="Open Sans" w:hAnsi="Open Sans"/>
          <w:b w:val="0"/>
          <w:i w:val="0"/>
          <w:sz w:val="21"/>
        </w:rPr>
        <w:t xml:space="preserve">The range for this role is R </w:t>
      </w:r>
      <w:r>
        <w:rPr>
          <w:rFonts w:ascii="Open Sans" w:hAnsi="Open Sans"/>
          <w:b w:val="0"/>
          <w:i w:val="0"/>
          <w:color w:val="21759B"/>
          <w:sz w:val="21"/>
        </w:rPr>
        <w:t>[amount]</w:t>
      </w:r>
      <w:r>
        <w:rPr>
          <w:rFonts w:ascii="Open Sans" w:hAnsi="Open Sans"/>
          <w:b w:val="0"/>
          <w:i w:val="0"/>
          <w:sz w:val="21"/>
        </w:rPr>
        <w:t xml:space="preserve"> to R </w:t>
      </w:r>
      <w:r>
        <w:rPr>
          <w:rFonts w:ascii="Open Sans" w:hAnsi="Open Sans"/>
          <w:b w:val="0"/>
          <w:i w:val="0"/>
          <w:color w:val="21759B"/>
          <w:sz w:val="21"/>
        </w:rPr>
        <w:t>[amount]</w:t>
      </w:r>
      <w:r>
        <w:rPr>
          <w:rFonts w:ascii="Open Sans" w:hAnsi="Open Sans"/>
          <w:b w:val="0"/>
          <w:i w:val="0"/>
          <w:sz w:val="21"/>
        </w:rPr>
        <w:t xml:space="preserve"> a month. Does that work?</w:t>
      </w:r>
    </w:p>
    <w:p>
      <w:pPr>
        <w:pStyle w:val="ListBullet"/>
        <w:spacing w:after="60"/>
        <w:ind w:left="340"/>
      </w:pPr>
      <w:r>
        <w:rPr>
          <w:rFonts w:ascii="Open Sans" w:hAnsi="Open Sans"/>
          <w:b w:val="0"/>
          <w:i w:val="0"/>
          <w:sz w:val="21"/>
        </w:rPr>
        <w:t>Do you consent to us checking your references and verifying your qualifications?</w:t>
      </w:r>
    </w:p>
    <w:p>
      <w:pPr>
        <w:pStyle w:val="ListBullet"/>
        <w:spacing w:after="60"/>
        <w:ind w:left="340"/>
      </w:pPr>
      <w:r>
        <w:rPr>
          <w:rFonts w:ascii="Open Sans" w:hAnsi="Open Sans"/>
          <w:b w:val="0"/>
          <w:i w:val="0"/>
          <w:sz w:val="21"/>
        </w:rPr>
        <w:t>What questions do you have for us?</w:t>
      </w:r>
    </w:p>
    <w:p>
      <w:pPr>
        <w:pStyle w:val="ListBullet"/>
        <w:spacing w:after="60"/>
        <w:ind w:left="340"/>
      </w:pPr>
      <w:r>
        <w:rPr>
          <w:rFonts w:ascii="Open Sans" w:hAnsi="Open Sans"/>
          <w:b w:val="0"/>
          <w:i w:val="0"/>
          <w:sz w:val="21"/>
        </w:rPr>
        <w:t>Tell the candidate when they will hear, and then actually tell them, whichever way it goes.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your notes during the interview or in the ten minutes afterwards. Notes written a week later are worth very little, and notes that exist only in your head are worth nothing at all if the appointment is ever challenged.</w:t>
      </w:r>
    </w:p>
    <w:p>
      <w:r>
        <w:br w:type="page"/>
      </w:r>
    </w:p>
    <w:p>
      <w:pPr>
        <w:pStyle w:val="Heading1"/>
      </w:pPr>
      <w:r>
        <w:t>Part 4: the rating scale</w:t>
      </w:r>
    </w:p>
    <w:p>
      <w:pPr>
        <w:spacing w:after="120" w:before="0"/>
      </w:pPr>
      <w:r>
        <w:rPr>
          <w:rFonts w:ascii="Open Sans" w:hAnsi="Open Sans"/>
          <w:b w:val="0"/>
          <w:i w:val="0"/>
          <w:sz w:val="21"/>
        </w:rPr>
        <w:t>Two people only score the same candidate the same way if they are working off the same description of what each number means. Use these anchors, and score against the evidence in the interview and the practical test, not against how much you liked the person.</w:t>
      </w:r>
    </w:p>
    <w:tbl>
      <w:tblPr>
        <w:tblW w:type="dxa" w:w="9025"/>
        <w:jc w:val="center"/>
        <w:tblLayout w:type="fixed"/>
        <w:tblLook w:firstColumn="1" w:firstRow="1" w:lastColumn="0" w:lastRow="0" w:noHBand="0" w:noVBand="1" w:val="04A0"/>
      </w:tblPr>
      <w:tblGrid>
        <w:gridCol w:w="902"/>
        <w:gridCol w:w="2888"/>
        <w:gridCol w:w="5235"/>
      </w:tblGrid>
      <w:tr>
        <w:trPr>
          <w:tblHeader w:val="true"/>
        </w:trPr>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SHOULD HAVE SEEN</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5</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Well above what the job needs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Detailed examples with results. Has done more than this job requires and can teach others.</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4</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Above what the job needs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Clear, specific evidence from real situations. Would need little support.</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3</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Meets what the job needs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Can do the job as described from day one with the normal support any new person gets. This is a pass, not a disappointment.</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2</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Below what the job needs</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Some relevant evidence, with real gaps that would need close supervision for several months.</w:t>
            </w:r>
          </w:p>
        </w:tc>
      </w:tr>
      <w:tr>
        <w:trPr>
          <w:cantSplit/>
        </w:trPr>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Well below what the job needs</w:t>
            </w:r>
          </w:p>
        </w:tc>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evidence at all, or evidence pointing the other way.</w:t>
            </w:r>
          </w:p>
        </w:tc>
      </w:tr>
      <w:tr>
        <w:trPr>
          <w:cantSplit/>
        </w:trPr>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0</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 assessed</w:t>
            </w:r>
          </w:p>
        </w:tc>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question was not reached. Do not leave a criterion at zero unless you are prepared to explain why.</w:t>
            </w:r>
          </w:p>
        </w:tc>
      </w:tr>
    </w:tbl>
    <w:p>
      <w:pPr>
        <w:pStyle w:val="Heading1"/>
      </w:pPr>
      <w:r>
        <w:t>Part 5: scoring matrix</w:t>
      </w:r>
    </w:p>
    <w:p>
      <w:pPr>
        <w:spacing w:after="120" w:before="0"/>
      </w:pPr>
      <w:r>
        <w:rPr>
          <w:rFonts w:ascii="Open Sans" w:hAnsi="Open Sans"/>
          <w:b w:val="0"/>
          <w:i w:val="0"/>
          <w:sz w:val="21"/>
        </w:rPr>
        <w:t>Set the weights before you advertise, and make them add up to 100. Weight the things that actually determine whether the person can do this job. Then, for each criterion, multiply the weight by the rating out of 5. Add the weighted points and divide by 5 to get a percentage. All fives gives 100 percent, all threes gives 60 percent.</w:t>
      </w:r>
    </w:p>
    <w:tbl>
      <w:tblPr>
        <w:tblW w:type="dxa" w:w="9025"/>
        <w:jc w:val="center"/>
        <w:tblLayout w:type="fixed"/>
        <w:tblLook w:firstColumn="1" w:firstRow="1" w:lastColumn="0" w:lastRow="0" w:noHBand="0" w:noVBand="1" w:val="04A0"/>
      </w:tblPr>
      <w:tblGrid>
        <w:gridCol w:w="2346"/>
        <w:gridCol w:w="6679"/>
      </w:tblGrid>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Position</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Candidate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Interviewer</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name]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0" w:after="80"/>
        <w:rPr>
          <w:sz w:val="16"/>
        </w:rPr>
      </w:pPr>
    </w:p>
    <w:tbl>
      <w:tblPr>
        <w:tblW w:type="dxa" w:w="9025"/>
        <w:jc w:val="center"/>
        <w:tblLayout w:type="fixed"/>
        <w:tblLook w:firstColumn="1" w:firstRow="1" w:lastColumn="0" w:lastRow="0" w:noHBand="0" w:noVBand="1" w:val="04A0"/>
      </w:tblPr>
      <w:tblGrid>
        <w:gridCol w:w="2346"/>
        <w:gridCol w:w="1083"/>
        <w:gridCol w:w="1173"/>
        <w:gridCol w:w="1714"/>
        <w:gridCol w:w="2707"/>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CRITERION</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WEIGHT</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RATING 0 TO 5</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WEIGHTED POINTS (WEIGHT X RATING)</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EVIDENCE YOU ARE RELYING 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Technical skill or trade competence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[30]</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showed in the practical test]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Relevant experience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[20]</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[Years, and in what specifically]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Reliability and attendance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example, and what the reference says]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Customer handling and communication</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[15]</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example]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Teamwork and taking instruction</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[Their example]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Licences, registrations and legal requirements</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[Sighted, verified, or outstanding]</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Weights must total 100</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[100]</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[Total points]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 xml:space="preserve">Percentage = points divided by 5 = </w:t>
            </w:r>
            <w:r>
              <w:rPr>
                <w:rFonts w:ascii="Open Sans" w:hAnsi="Open Sans"/>
                <w:b w:val="0"/>
                <w:i w:val="0"/>
                <w:color w:val="21759B"/>
                <w:sz w:val="18"/>
              </w:rPr>
              <w:t>[  ]</w:t>
            </w:r>
            <w:r>
              <w:rPr>
                <w:rFonts w:ascii="Open Sans" w:hAnsi="Open Sans"/>
                <w:b w:val="0"/>
                <w:i w:val="0"/>
                <w:sz w:val="18"/>
              </w:rPr>
              <w:t xml:space="preserve"> percent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add a criterion called "fit", "attitude" or "presentation" and give it a heavy weight. Those words carry whatever the person scoring them wants them to carry, which is exactly the problem, and they are the first thing a commissioner will ask you to explain. If attitude matters, say what you mean: takes instruction, follows the safety rules, tells you when something goes wrong.</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two interviewers score separately, write both scores down, then discuss any criterion where you are more than one point apart and record the agreed score with a line saying why. Do not simply average them and move on.</w:t>
      </w:r>
    </w:p>
    <w:p>
      <w:pPr>
        <w:pStyle w:val="Heading2"/>
      </w:pPr>
      <w:r>
        <w:t>Interviewer comments</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Strengths, with the evidence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[Two or three lines pointing at what the candidate actually said or did]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Concerns, with the evidence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[Two or three lines]</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Anything to check at reference stage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[For example the reason for leaving]</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Recommendation</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[Appoint / Appoint subject to checks / Second interview / Do not appoint]</w:t>
            </w:r>
          </w:p>
        </w:tc>
      </w:tr>
    </w:tbl>
    <w:p>
      <w:r>
        <w:br w:type="page"/>
      </w:r>
    </w:p>
    <w:p>
      <w:pPr>
        <w:pStyle w:val="Heading1"/>
      </w:pPr>
      <w:r>
        <w:t>Part 6: comparison across candidates</w:t>
      </w:r>
    </w:p>
    <w:p>
      <w:pPr>
        <w:spacing w:after="120" w:before="0"/>
      </w:pPr>
      <w:r>
        <w:rPr>
          <w:rFonts w:ascii="Open Sans" w:hAnsi="Open Sans"/>
          <w:b w:val="0"/>
          <w:i w:val="0"/>
          <w:sz w:val="21"/>
        </w:rPr>
        <w:t>Fill this in once every interview is done, from the individual scoring sheets. Do not rewrite the individual scores to fit the outcome you now prefer.</w:t>
      </w:r>
    </w:p>
    <w:tbl>
      <w:tblPr>
        <w:tblW w:type="dxa" w:w="9025"/>
        <w:jc w:val="center"/>
        <w:tblLayout w:type="fixed"/>
        <w:tblLook w:firstColumn="1" w:firstRow="1" w:lastColumn="0" w:lastRow="0" w:noHBand="0" w:noVBand="1" w:val="04A0"/>
      </w:tblPr>
      <w:tblGrid>
        <w:gridCol w:w="1985"/>
        <w:gridCol w:w="1083"/>
        <w:gridCol w:w="1805"/>
        <w:gridCol w:w="1805"/>
        <w:gridCol w:w="1624"/>
        <w:gridCol w:w="722"/>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CANDIDATE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SCORE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STRONGEST CRITERION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WEAKEST CRITERION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CHECKS OUTSTANDING</w:t>
            </w:r>
          </w:p>
        </w:tc>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RANK</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r>
              <w:rPr>
                <w:rFonts w:ascii="Open Sans" w:hAnsi="Open Sans"/>
                <w:b w:val="0"/>
                <w:i w:val="0"/>
                <w:sz w:val="18"/>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[References, qualification, criminal check]</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r>
              <w:rPr>
                <w:rFonts w:ascii="Open Sans" w:hAnsi="Open Sans"/>
                <w:b w:val="0"/>
                <w:i w:val="0"/>
                <w:sz w:val="18"/>
              </w:rPr>
              <w:t xml:space="preserve"> percent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[Full name]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r>
              <w:rPr>
                <w:rFonts w:ascii="Open Sans" w:hAnsi="Open Sans"/>
                <w:b w:val="0"/>
                <w:i w:val="0"/>
                <w:sz w:val="18"/>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[Criterion]</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1"/>
      </w:pPr>
      <w:r>
        <w:t>Part 7: reference checks</w:t>
      </w:r>
    </w:p>
    <w:p>
      <w:pPr>
        <w:spacing w:after="120" w:before="0"/>
      </w:pPr>
      <w:r>
        <w:rPr>
          <w:rFonts w:ascii="Open Sans" w:hAnsi="Open Sans"/>
          <w:b w:val="0"/>
          <w:i w:val="0"/>
          <w:sz w:val="21"/>
        </w:rPr>
        <w:t>Do these before you make an offer, and do them yourself. Phone the switchboard of the business rather than the mobile number the candidate gave you, and ask for the manager the candidate reported to. A reference from a friend with a prepared script is worse than no reference at all.</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Candidate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Written consent obtained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dated DD Month YYYY]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Referee name and designation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 job title]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Business and number called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[Business]</w:t>
            </w:r>
            <w:r>
              <w:rPr>
                <w:rFonts w:ascii="Open Sans" w:hAnsi="Open Sans"/>
                <w:b w:val="0"/>
                <w:i w:val="0"/>
                <w:sz w:val="21"/>
              </w:rPr>
              <w:t xml:space="preserve">, </w:t>
            </w:r>
            <w:r>
              <w:rPr>
                <w:rFonts w:ascii="Open Sans" w:hAnsi="Open Sans"/>
                <w:b w:val="0"/>
                <w:i w:val="0"/>
                <w:color w:val="21759B"/>
                <w:sz w:val="21"/>
              </w:rPr>
              <w:t>[+27 XX XXX XXXX]</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and time of the call</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Checked by</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name]</w:t>
            </w:r>
          </w:p>
        </w:tc>
      </w:tr>
    </w:tbl>
    <w:p>
      <w:pPr>
        <w:spacing w:before="0" w:after="80"/>
        <w:rPr>
          <w:sz w:val="16"/>
        </w:rPr>
      </w:pPr>
    </w:p>
    <w:tbl>
      <w:tblPr>
        <w:tblW w:type="dxa" w:w="9025"/>
        <w:jc w:val="center"/>
        <w:tblLayout w:type="fixed"/>
        <w:tblLook w:firstColumn="1" w:firstRow="1" w:lastColumn="0" w:lastRow="0" w:noHBand="0" w:noVBand="1" w:val="04A0"/>
      </w:tblPr>
      <w:tblGrid>
        <w:gridCol w:w="5235"/>
        <w:gridCol w:w="3790"/>
      </w:tblGrid>
      <w:tr>
        <w:trPr>
          <w:tblHeader w:val="true"/>
        </w:trPr>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ASK</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were the dates of employment and the job title?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What did the person actually do day to day?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was their attendance and timekeeping?</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How did they handle customers, or pressure, or cash?</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Why did they leave?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Would you employ them again?</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Is there anything else I should know that is relevant to this job?</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Many employers will only confirm dates, job title and salary, and will say nothing about performance. That is a lawful and increasingly common policy, and you should not read anything into it. What you may read something into is a referee who will not confirm the dates the candidate gave you.</w:t>
      </w:r>
    </w:p>
    <w:p>
      <w:pPr>
        <w:pStyle w:val="Heading1"/>
      </w:pPr>
      <w:r>
        <w:t>Part 8: verifying qualifications and documents</w:t>
      </w:r>
    </w:p>
    <w:tbl>
      <w:tblPr>
        <w:tblW w:type="dxa" w:w="9025"/>
        <w:jc w:val="center"/>
        <w:tblLayout w:type="fixed"/>
        <w:tblLook w:firstColumn="1" w:firstRow="1" w:lastColumn="0" w:lastRow="0" w:noHBand="0" w:noVBand="1" w:val="04A0"/>
      </w:tblPr>
      <w:tblGrid>
        <w:gridCol w:w="2166"/>
        <w:gridCol w:w="5596"/>
        <w:gridCol w:w="126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YOU CHECK IT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Identity and the right to work</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original identity document, permanent residence permit or valid work visa. Keep a certified copy and diarise the expiry date of a visa.</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Matric certificate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Umalusi verifies National Senior Certificate and senior certificate results.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degree, diploma or certificate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institution that issued it. Ask for the original, then phone the institution's records office.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foreign qualification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South African Qualifications Authority evaluates foreign qualifications against the National Qualifications Framework.</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Professional registration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relevant council or body, for example the Engineering Council of South Africa, the South African Council for the Architectural Profession, the Health Professions Council of South Africa, PSIRA for security, or SAICA and SAIPA for accounting.</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trade test or a certificate of competence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issuing body or the relevant SETA.</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Driver's licence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original card, and check the code and the expiry date. A code B licence does not cover a truck.</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Criminal record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where the job justifies it, and only with the candidate's written consent. Done through the South African Police Service or an accredited screening company.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false qualification on a curriculum vitae is a dismissible offence, and it stays dismissible years later when you find out. That is exactly why you check it now instead: it is far cheaper to not appoint somebody than to dismiss them.</w:t>
      </w:r>
    </w:p>
    <w:p>
      <w:r>
        <w:br w:type="page"/>
      </w:r>
    </w:p>
    <w:p>
      <w:pPr>
        <w:pStyle w:val="Heading1"/>
      </w:pPr>
      <w:r>
        <w:t>Part 9: decision and reasons</w:t>
      </w:r>
    </w:p>
    <w:p>
      <w:pPr>
        <w:spacing w:after="120" w:before="0"/>
      </w:pPr>
      <w:r>
        <w:rPr>
          <w:rFonts w:ascii="Open Sans" w:hAnsi="Open Sans"/>
          <w:b w:val="0"/>
          <w:i w:val="0"/>
          <w:sz w:val="21"/>
        </w:rPr>
        <w:t>Complete this on the day you decide, not later. This one page is the employer's evidence if the appointment is challenged, and it is also the honest check on yourself: if you cannot write down a reason that refers to the criteria, you have not made the decision on the criteria.</w:t>
      </w:r>
    </w:p>
    <w:tbl>
      <w:tblPr>
        <w:tblW w:type="dxa" w:w="9025"/>
        <w:jc w:val="center"/>
        <w:tblLayout w:type="fixed"/>
        <w:tblLook w:firstColumn="1" w:firstRow="1" w:lastColumn="0" w:lastRow="0" w:noHBand="0" w:noVBand="1" w:val="04A0"/>
      </w:tblPr>
      <w:tblGrid>
        <w:gridCol w:w="3249"/>
        <w:gridCol w:w="5776"/>
      </w:tblGrid>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Position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[Job title]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Number of applications received</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  ]</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Number shortlisted and interviewed</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  ]</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Panel</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[Names and designations]</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Candidate appointed</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scoring </w:t>
            </w:r>
            <w:r>
              <w:rPr>
                <w:rFonts w:ascii="Open Sans" w:hAnsi="Open Sans"/>
                <w:b w:val="0"/>
                <w:i w:val="0"/>
                <w:color w:val="21759B"/>
                <w:sz w:val="21"/>
              </w:rPr>
              <w:t>[  ]</w:t>
            </w:r>
            <w:r>
              <w:rPr>
                <w:rFonts w:ascii="Open Sans" w:hAnsi="Open Sans"/>
                <w:b w:val="0"/>
                <w:i w:val="0"/>
                <w:sz w:val="21"/>
              </w:rPr>
              <w:t xml:space="preserve"> percent</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 for the appointment</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reason, by reference to the criteria and the evidence]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Reason the next ranked candidate was not appointed</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[Again by reference to the criteria and the evidence]</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Was any candidate rejected on the inherent requirements of the job?</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or No. If yes, state which requirement and why it is inherent.]</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Employment equity considerations</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[The affirmative action measure applied, if any, and the goal it serves]</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Offer made 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Offer accepted on</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Unsuccessful candidates told on</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by </w:t>
            </w:r>
            <w:r>
              <w:rPr>
                <w:rFonts w:ascii="Open Sans" w:hAnsi="Open Sans"/>
                <w:b w:val="0"/>
                <w:i w:val="0"/>
                <w:color w:val="21759B"/>
                <w:sz w:val="21"/>
              </w:rPr>
              <w:t>[email / phone]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Reasons at this level of detail are enough. Appointed: highest score on technical skill and on reliability, the only candidate who finished the practical test inside the time, and both references confirmed the attendance record. Not appointed: strong on customer handling, but no evidence of the trade competence the job requires, and the qualification could not be verified.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Give the successful candidate a written contract of employment before or on the first day. Section 29 of the BCEA requires written particulars of employment, and template C5 in this library is that contract. Register the employee for UIF, and register with the Compensation Fund within seven days if this is your first employee.</w:t>
      </w:r>
    </w:p>
    <w:p>
      <w:pPr>
        <w:pStyle w:val="Heading2"/>
      </w:pPr>
      <w:r>
        <w:t>Signatures</w:t>
      </w:r>
    </w:p>
    <w:p>
      <w:pPr>
        <w:spacing w:before="200" w:after="0"/>
      </w:pPr>
      <w:r>
        <w:rPr>
          <w:rFonts w:ascii="Montserrat" w:hAnsi="Montserrat"/>
          <w:b/>
          <w:color w:val="191C4A"/>
          <w:sz w:val="18"/>
        </w:rPr>
        <w:t>SIGNED BY THE CHAIRPERSON OF THE PANEL</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pStyle w:val="Heading1"/>
      </w:pPr>
      <w:r>
        <w:t>Part 10: POPIA, consent and how long you keep the file</w:t>
      </w:r>
    </w:p>
    <w:p>
      <w:pPr>
        <w:spacing w:after="120" w:before="0"/>
      </w:pPr>
      <w:r>
        <w:rPr>
          <w:rFonts w:ascii="Open Sans" w:hAnsi="Open Sans"/>
          <w:b w:val="0"/>
          <w:i w:val="0"/>
          <w:sz w:val="21"/>
        </w:rPr>
        <w:t>Every curriculum vitae you receive is personal information, and the Protection of Personal Information Act 4 of 2013 applies to it from the moment it lands in your inbox. The obligations are not heavy, but they are real: collect only what you need for the appointment, say what you are collecting it for, keep it secure, and do not keep it forever.</w:t>
      </w:r>
    </w:p>
    <w:p>
      <w:pPr>
        <w:pStyle w:val="ListBullet"/>
        <w:spacing w:after="60"/>
        <w:ind w:left="340"/>
      </w:pPr>
      <w:r>
        <w:rPr>
          <w:rFonts w:ascii="Open Sans" w:hAnsi="Open Sans"/>
          <w:b w:val="0"/>
          <w:i w:val="0"/>
          <w:sz w:val="21"/>
        </w:rPr>
        <w:t>Tell candidates, at the point of applying, what you will do with their information, who will see it, and how long you will hold it.</w:t>
      </w:r>
    </w:p>
    <w:p>
      <w:pPr>
        <w:pStyle w:val="ListBullet"/>
        <w:spacing w:after="60"/>
        <w:ind w:left="340"/>
      </w:pPr>
      <w:r>
        <w:rPr>
          <w:rFonts w:ascii="Open Sans" w:hAnsi="Open Sans"/>
          <w:b w:val="0"/>
          <w:i w:val="0"/>
          <w:sz w:val="21"/>
        </w:rPr>
        <w:t>Get written consent before you check references, verify qualifications or run a criminal record check. A general "I consent to anything" line is weak. Name the checks.</w:t>
      </w:r>
    </w:p>
    <w:p>
      <w:pPr>
        <w:pStyle w:val="ListBullet"/>
        <w:spacing w:after="60"/>
        <w:ind w:left="340"/>
      </w:pPr>
      <w:r>
        <w:rPr>
          <w:rFonts w:ascii="Open Sans" w:hAnsi="Open Sans"/>
          <w:b w:val="0"/>
          <w:i w:val="0"/>
          <w:sz w:val="21"/>
        </w:rPr>
        <w:t>Do not collect information you do not need. You do not need a photograph, a marital status, a dependants list or a copy of a medical aid card to shortlist somebody.</w:t>
      </w:r>
    </w:p>
    <w:p>
      <w:pPr>
        <w:pStyle w:val="ListBullet"/>
        <w:spacing w:after="60"/>
        <w:ind w:left="340"/>
      </w:pPr>
      <w:r>
        <w:rPr>
          <w:rFonts w:ascii="Open Sans" w:hAnsi="Open Sans"/>
          <w:b w:val="0"/>
          <w:i w:val="0"/>
          <w:sz w:val="21"/>
        </w:rPr>
        <w:t>Keep applications secure. A pile of curricula vitae on the counter, or a shared folder the whole staff can open, is a security failure waiting to be reported.</w:t>
      </w:r>
    </w:p>
    <w:p>
      <w:pPr>
        <w:pStyle w:val="ListBullet"/>
        <w:spacing w:after="60"/>
        <w:ind w:left="340"/>
      </w:pPr>
      <w:r>
        <w:rPr>
          <w:rFonts w:ascii="Open Sans" w:hAnsi="Open Sans"/>
          <w:b w:val="0"/>
          <w:i w:val="0"/>
          <w:sz w:val="21"/>
        </w:rPr>
        <w:t>Health information, including anything about a disability, a pregnancy or HIV status, is special personal information and needs its own justification. Do not put it on the scoring sheet.</w:t>
      </w:r>
    </w:p>
    <w:p>
      <w:pPr>
        <w:pStyle w:val="ListBullet"/>
        <w:spacing w:after="60"/>
        <w:ind w:left="340"/>
      </w:pPr>
      <w:r>
        <w:rPr>
          <w:rFonts w:ascii="Open Sans" w:hAnsi="Open Sans"/>
          <w:b w:val="0"/>
          <w:i w:val="0"/>
          <w:sz w:val="21"/>
        </w:rPr>
        <w:t>If personal information is accessed by somebody who should not have it, notify the Information Regulator and the affected people as soon as reasonably possible after you discover it. POPIA has no 72 hour deadline. That is the European rule.</w:t>
      </w:r>
    </w:p>
    <w:p>
      <w:pPr>
        <w:pStyle w:val="Heading2"/>
      </w:pPr>
      <w:r>
        <w:t>How long to keep unsuccessful applicants' information</w:t>
      </w:r>
    </w:p>
    <w:p>
      <w:pPr>
        <w:spacing w:after="120" w:before="0"/>
      </w:pPr>
      <w:r>
        <w:rPr>
          <w:rFonts w:ascii="Open Sans" w:hAnsi="Open Sans"/>
          <w:b w:val="0"/>
          <w:i w:val="0"/>
          <w:sz w:val="21"/>
        </w:rPr>
        <w:t>POPIA says you may not keep records of personal information for longer than is necessary for the purpose you collected them for, unless a law requires you to keep them longer or the person has consented. For recruitment, the practical answer follows the risk: a candidate who believes they were discriminated against has six months to refer a dispute, and you will need the interview record to answer it.</w:t>
      </w:r>
    </w:p>
    <w:tbl>
      <w:tblPr>
        <w:tblW w:type="dxa" w:w="9025"/>
        <w:jc w:val="center"/>
        <w:tblLayout w:type="fixed"/>
        <w:tblLook w:firstColumn="1" w:firstRow="1" w:lastColumn="0" w:lastRow="0" w:noHBand="0" w:noVBand="1" w:val="04A0"/>
      </w:tblPr>
      <w:tblGrid>
        <w:gridCol w:w="2707"/>
        <w:gridCol w:w="3971"/>
        <w:gridCol w:w="2346"/>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RECORD</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KEEP IT FOR</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THEN</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Curriculum vitae and application of an unsuccessful candidate</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Six months from the date the appointment is made, so that you can answer a discrimination referral. Twelve months is also defensible and is what most employers use.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Delete or shred securely, and record that you did.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Interview notes, scoring sheets and the decision record</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same period as the applications, and longer if a dispute has been referred. Keep them until that dispute is finally over.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Delete or shred securely.</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curriculum vitae you want to keep for future vacancies</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with the candidate's separate written consent, and only for the period you told them.</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Ask again, or delete. Do not keep it quietly.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Everything for the person you appointed</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It becomes part of the employee file. Employment records are kept for three years after the employment ends, under section 31 of the BCEA.</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Then dispose of it securely.</w:t>
            </w:r>
          </w:p>
        </w:tc>
      </w:tr>
    </w:tbl>
    <w:p>
      <w:pPr>
        <w:pStyle w:val="Heading2"/>
      </w:pPr>
      <w:r>
        <w:t>Candidate consent</w:t>
      </w:r>
    </w:p>
    <w:p>
      <w:pPr>
        <w:spacing w:after="120" w:before="0"/>
        <w:jc w:val="both"/>
      </w:pPr>
      <w:r>
        <w:rPr>
          <w:rFonts w:ascii="Open Sans" w:hAnsi="Open Sans"/>
          <w:b w:val="0"/>
          <w:i w:val="0"/>
          <w:sz w:val="21"/>
        </w:rPr>
        <w:t xml:space="preserve">I, </w:t>
      </w:r>
      <w:r>
        <w:rPr>
          <w:rFonts w:ascii="Open Sans" w:hAnsi="Open Sans"/>
          <w:b w:val="0"/>
          <w:i w:val="0"/>
          <w:color w:val="21759B"/>
          <w:sz w:val="21"/>
        </w:rPr>
        <w:t>[Full name of the candidate]</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apply for the position of </w:t>
      </w:r>
      <w:r>
        <w:rPr>
          <w:rFonts w:ascii="Open Sans" w:hAnsi="Open Sans"/>
          <w:b w:val="0"/>
          <w:i w:val="0"/>
          <w:color w:val="21759B"/>
          <w:sz w:val="21"/>
        </w:rPr>
        <w:t>[job title]</w:t>
      </w:r>
      <w:r>
        <w:rPr>
          <w:rFonts w:ascii="Open Sans" w:hAnsi="Open Sans"/>
          <w:b w:val="0"/>
          <w:i w:val="0"/>
          <w:sz w:val="21"/>
        </w:rPr>
        <w:t xml:space="preserve"> at </w:t>
      </w:r>
      <w:r>
        <w:rPr>
          <w:rFonts w:ascii="Open Sans" w:hAnsi="Open Sans"/>
          <w:b w:val="0"/>
          <w:i w:val="0"/>
          <w:color w:val="21759B"/>
          <w:sz w:val="21"/>
        </w:rPr>
        <w:t>[YOUR COMPANY NAME]</w:t>
      </w:r>
      <w:r>
        <w:rPr>
          <w:rFonts w:ascii="Open Sans" w:hAnsi="Open Sans"/>
          <w:b w:val="0"/>
          <w:i w:val="0"/>
          <w:sz w:val="21"/>
        </w:rPr>
        <w:t xml:space="preserve">. I consent to </w:t>
      </w:r>
      <w:r>
        <w:rPr>
          <w:rFonts w:ascii="Open Sans" w:hAnsi="Open Sans"/>
          <w:b w:val="0"/>
          <w:i w:val="0"/>
          <w:color w:val="21759B"/>
          <w:sz w:val="21"/>
        </w:rPr>
        <w:t>[YOUR COMPANY NAME]</w:t>
      </w:r>
      <w:r>
        <w:rPr>
          <w:rFonts w:ascii="Open Sans" w:hAnsi="Open Sans"/>
          <w:b w:val="0"/>
          <w:i w:val="0"/>
          <w:sz w:val="21"/>
        </w:rPr>
        <w:t xml:space="preserve"> collecting and processing my personal information for the purpose of assessing this application. I consent to it contacting the referees I have named, verifying the qualifications and registrations I have claimed, and confirming my right to work in South Africa. </w:t>
      </w:r>
      <w:r>
        <w:rPr>
          <w:rFonts w:ascii="Open Sans" w:hAnsi="Open Sans"/>
          <w:b w:val="0"/>
          <w:i w:val="0"/>
          <w:color w:val="21759B"/>
          <w:sz w:val="21"/>
        </w:rPr>
        <w:t>[I consent to a criminal record check for this position. Delete this sentence if the job does not justify one.]</w:t>
      </w:r>
      <w:r>
        <w:rPr>
          <w:rFonts w:ascii="Open Sans" w:hAnsi="Open Sans"/>
          <w:b w:val="0"/>
          <w:i w:val="0"/>
          <w:sz w:val="21"/>
        </w:rPr>
        <w:t xml:space="preserve"> I understand that my application will be kept for </w:t>
      </w:r>
      <w:r>
        <w:rPr>
          <w:rFonts w:ascii="Open Sans" w:hAnsi="Open Sans"/>
          <w:b w:val="0"/>
          <w:i w:val="0"/>
          <w:color w:val="21759B"/>
          <w:sz w:val="21"/>
        </w:rPr>
        <w:t>[6 / 12]</w:t>
      </w:r>
      <w:r>
        <w:rPr>
          <w:rFonts w:ascii="Open Sans" w:hAnsi="Open Sans"/>
          <w:b w:val="0"/>
          <w:i w:val="0"/>
          <w:sz w:val="21"/>
        </w:rPr>
        <w:t xml:space="preserve"> months and then deleted, unless I am appointed or unless I separately agree that it may be kept for future vacancies. I may ask for access to my information, ask for it to be corrected, or withdraw this consent, by writing to </w:t>
      </w:r>
      <w:r>
        <w:rPr>
          <w:rFonts w:ascii="Open Sans" w:hAnsi="Open Sans"/>
          <w:b w:val="0"/>
          <w:i w:val="0"/>
          <w:color w:val="21759B"/>
          <w:sz w:val="21"/>
        </w:rPr>
        <w:t>[email@yourbusiness.co.za]</w:t>
      </w:r>
      <w:r>
        <w:rPr>
          <w:rFonts w:ascii="Open Sans" w:hAnsi="Open Sans"/>
          <w:b w:val="0"/>
          <w:i w:val="0"/>
          <w:sz w:val="21"/>
        </w:rPr>
        <w:t>.</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Candidate signature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Information Officer of a private body is the head of that body: for a company the chief executive or managing director, for a close corporation the managing member, and for a sole proprietor the owner. The appointment happens by virtue of the position, whether you like it or not, and the Information Officer must be registered with the Information Regulator.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general guidance and not legal advice. For a senior appointment, a restructure, or a workplace covered by a bargaining council, have a labour law practitioner look at your process before you run it.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