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INDEPENDENT CONTRACTOR AGREEMENT</w:t>
      </w:r>
    </w:p>
    <w:p>
      <w:pPr>
        <w:spacing w:before="0" w:after="160"/>
        <w:keepNext/>
      </w:pPr>
      <w:r>
        <w:rPr>
          <w:rFonts w:ascii="Open Sans" w:hAnsi="Open Sans"/>
          <w:color w:val="6B6870"/>
          <w:sz w:val="20"/>
        </w:rPr>
        <w:t>Template D3 | A contract for services, not a contract of employment | Labour Relations Act 66 of 1995 and Income Tax Act 58 of 1962</w:t>
      </w:r>
    </w:p>
    <w:p>
      <w:pPr>
        <w:spacing w:before="0" w:after="200"/>
        <w:pBdr>
          <w:bottom w:val="single" w:sz="12" w:space="1" w:color="D7B428"/>
        </w:pBdr>
      </w:pPr>
    </w:p>
    <w:p>
      <w:pPr>
        <w:pStyle w:val="Heading1"/>
      </w:pPr>
      <w:r>
        <w:t>Before you use this agreement</w:t>
      </w:r>
    </w:p>
    <w:p>
      <w:pPr>
        <w:spacing w:after="120" w:before="0"/>
        <w:jc w:val="both"/>
      </w:pPr>
      <w:r>
        <w:rPr>
          <w:rFonts w:ascii="Open Sans" w:hAnsi="Open Sans"/>
          <w:b w:val="0"/>
          <w:i w:val="0"/>
          <w:sz w:val="21"/>
        </w:rPr>
        <w:t>This is a contract for services. The contractor runs their own business and delivers an agreed outcome. It is not an employment contract, and the difference is not a matter of what you call it.</w:t>
      </w:r>
    </w:p>
    <w:p>
      <w:pPr>
        <w:spacing w:after="120" w:before="0"/>
        <w:jc w:val="both"/>
      </w:pPr>
      <w:r>
        <w:rPr>
          <w:rFonts w:ascii="Open Sans" w:hAnsi="Open Sans"/>
          <w:b w:val="0"/>
          <w:i w:val="0"/>
          <w:sz w:val="21"/>
        </w:rPr>
        <w:t>South African courts, the CCMA and SARS all look at what actually happens between the parties, not at the heading on the page. If the real relationship is employment, the contractor is an employee no matter what this agreement says, and both the labour consequences and the tax consequences land on the client.</w:t>
      </w:r>
    </w:p>
    <w:p>
      <w:pPr>
        <w:pStyle w:val="Heading2"/>
      </w:pPr>
      <w:r>
        <w:t>What it costs to get this wrong</w:t>
      </w:r>
    </w:p>
    <w:tbl>
      <w:tblPr>
        <w:tblW w:type="dxa" w:w="9026"/>
        <w:jc w:val="center"/>
        <w:tblLayout w:type="fixed"/>
        <w:tblLook w:firstColumn="1" w:firstRow="1" w:lastColumn="0" w:lastRow="0" w:noHBand="0" w:noVBand="1" w:val="04A0"/>
      </w:tblPr>
      <w:tblGrid>
        <w:gridCol w:w="2707"/>
        <w:gridCol w:w="6318"/>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IF THE PERSON IS LATER FOUND TO BE AN EMPLOYEE</w:t>
            </w:r>
          </w:p>
        </w:tc>
        <w:tc>
          <w:tcPr>
            <w:tcW w:type="dxa" w:w="63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FOLLOWS</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At the CCMA</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They may refer an unfair dismissal dispute within 30 days of the engagement ending. The employer carries the onus of proving the dismissal was fair, and there was no hearing, no warning and no procedure, because you were not running one. Compensation of up to 12 months' remuneration is the standard remedy, and reinstatement is possible.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Under the BCEA</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Backdated annual leave, sick leave, notice pay and public holiday pay, plus any overtime and Sunday pay if the person earned below the earnings threshold.</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At SARS</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PAYE that should have been withheld becomes the employer's liability, together with UIF, SDL where the payroll is large enough, penalties and interest. SARS recovers it from the employer, not from the contractor.</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At the Compensation Fund</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 unregistered employee who is injured at work leaves the employer exposed to a claim it has no cover for.</w:t>
            </w:r>
          </w:p>
        </w:tc>
      </w:tr>
    </w:tbl>
    <w:p>
      <w:pPr>
        <w:pStyle w:val="Heading2"/>
      </w:pPr>
      <w:r>
        <w:t>How to keep the relationship genuinely independent</w:t>
      </w:r>
    </w:p>
    <w:p>
      <w:pPr>
        <w:pStyle w:val="ListBullet"/>
        <w:spacing w:after="60"/>
        <w:ind w:left="340"/>
      </w:pPr>
      <w:r>
        <w:rPr>
          <w:rFonts w:ascii="Open Sans" w:hAnsi="Open Sans"/>
          <w:b w:val="0"/>
          <w:i w:val="0"/>
          <w:sz w:val="21"/>
        </w:rPr>
        <w:t>Buy an outcome, not attendance. Specify what must be delivered and by when, and leave the how to the contractor.</w:t>
      </w:r>
    </w:p>
    <w:p>
      <w:pPr>
        <w:pStyle w:val="ListBullet"/>
        <w:spacing w:after="60"/>
        <w:ind w:left="340"/>
      </w:pPr>
      <w:r>
        <w:rPr>
          <w:rFonts w:ascii="Open Sans" w:hAnsi="Open Sans"/>
          <w:b w:val="0"/>
          <w:i w:val="0"/>
          <w:sz w:val="21"/>
        </w:rPr>
        <w:t>Let the contractor decide their own hours and methods, and work from their own premises wherever the work allows it.</w:t>
      </w:r>
    </w:p>
    <w:p>
      <w:pPr>
        <w:pStyle w:val="ListBullet"/>
        <w:spacing w:after="60"/>
        <w:ind w:left="340"/>
      </w:pPr>
      <w:r>
        <w:rPr>
          <w:rFonts w:ascii="Open Sans" w:hAnsi="Open Sans"/>
          <w:b w:val="0"/>
          <w:i w:val="0"/>
          <w:sz w:val="21"/>
        </w:rPr>
        <w:t>Let the contractor use their own equipment and software.</w:t>
      </w:r>
    </w:p>
    <w:p>
      <w:pPr>
        <w:pStyle w:val="ListBullet"/>
        <w:spacing w:after="60"/>
        <w:ind w:left="340"/>
      </w:pPr>
      <w:r>
        <w:rPr>
          <w:rFonts w:ascii="Open Sans" w:hAnsi="Open Sans"/>
          <w:b w:val="0"/>
          <w:i w:val="0"/>
          <w:sz w:val="21"/>
        </w:rPr>
        <w:t>Let the contractor have other clients, and do not object when they do.</w:t>
      </w:r>
    </w:p>
    <w:p>
      <w:pPr>
        <w:pStyle w:val="ListBullet"/>
        <w:spacing w:after="60"/>
        <w:ind w:left="340"/>
      </w:pPr>
      <w:r>
        <w:rPr>
          <w:rFonts w:ascii="Open Sans" w:hAnsi="Open Sans"/>
          <w:b w:val="0"/>
          <w:i w:val="0"/>
          <w:sz w:val="21"/>
        </w:rPr>
        <w:t>Pay against an invoice for work delivered, not a fixed salary on the 25th.</w:t>
      </w:r>
    </w:p>
    <w:p>
      <w:pPr>
        <w:pStyle w:val="ListBullet"/>
        <w:spacing w:after="60"/>
        <w:ind w:left="340"/>
      </w:pPr>
      <w:r>
        <w:rPr>
          <w:rFonts w:ascii="Open Sans" w:hAnsi="Open Sans"/>
          <w:b w:val="0"/>
          <w:i w:val="0"/>
          <w:sz w:val="21"/>
        </w:rPr>
        <w:t>Do not include the contractor in staff meetings, performance reviews, the leave system, the disciplinary code or the company organogram.</w:t>
      </w:r>
    </w:p>
    <w:p>
      <w:pPr>
        <w:pStyle w:val="ListBullet"/>
        <w:spacing w:after="60"/>
        <w:ind w:left="340"/>
      </w:pPr>
      <w:r>
        <w:rPr>
          <w:rFonts w:ascii="Open Sans" w:hAnsi="Open Sans"/>
          <w:b w:val="0"/>
          <w:i w:val="0"/>
          <w:sz w:val="21"/>
        </w:rPr>
        <w:t>Do not give them a company email signature that says they work for you, a uniform, or a business card, unless the work genuinely requires it.</w:t>
      </w:r>
    </w:p>
    <w:p>
      <w:pPr>
        <w:pStyle w:val="Heading2"/>
      </w:pPr>
      <w:r>
        <w:t>Employee or contractor, at a glance</w:t>
      </w:r>
    </w:p>
    <w:tbl>
      <w:tblPr>
        <w:tblW w:type="dxa" w:w="9025"/>
        <w:jc w:val="center"/>
        <w:tblLayout w:type="fixed"/>
        <w:tblLook w:firstColumn="1" w:firstRow="1" w:lastColumn="0" w:lastRow="0" w:noHBand="0" w:noVBand="1" w:val="04A0"/>
      </w:tblPr>
      <w:tblGrid>
        <w:gridCol w:w="2166"/>
        <w:gridCol w:w="2978"/>
        <w:gridCol w:w="3881"/>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AN EMPLOYEE</w:t>
            </w:r>
          </w:p>
        </w:tc>
        <w:tc>
          <w:tcPr>
            <w:tcW w:type="dxa" w:w="388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 GENUINE INDEPENDENT CONTRACTOR</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Who decides how the work is done?</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employer</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contractor. The client agrees the outcome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Who decides the hours?</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employer, within the BCEA limits</w:t>
            </w:r>
          </w:p>
        </w:tc>
        <w:tc>
          <w:tcPr>
            <w:tcW w:type="dxa" w:w="388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contractor, subject to agreed deadlines</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Whose tools and equipment?</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employer's</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contractor's own</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How is payment worked out?</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salary or wage for time, paid on a fixed date</w:t>
            </w:r>
          </w:p>
        </w:tc>
        <w:tc>
          <w:tcPr>
            <w:tcW w:type="dxa" w:w="388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fee for a deliverable or a rate, paid against an invoice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Who deals with the tax?</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employer withholds PAYE and pays over UIF and SDL</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contractor pays their own income tax and provisional tax. No PAYE is withheld unless the personal service provider rules apply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Paid leave and benefits?</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Yes, the BCEA minimums as a floor</w:t>
            </w:r>
          </w:p>
        </w:tc>
        <w:tc>
          <w:tcPr>
            <w:tcW w:type="dxa" w:w="388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None. The fee covers everything</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Who carries the risk of a bad job?</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employer, subject to discipline for misconduct</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contractor, who fixes it at their own cost and carries insurance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How does it end?</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Notice under BCEA section 37, and a dismissal must be fair</w:t>
            </w:r>
          </w:p>
        </w:tc>
        <w:tc>
          <w:tcPr>
            <w:tcW w:type="dxa" w:w="388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Notice under the contract. No unfair dismissal claim</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Where does a dispute go?</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CCMA or a bargaining council</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civil courts or the agreed arbitration forum</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Every one of those bullets maps onto one of the seven statutory factors in Part 1 below. Work through Part 1 honestly before you sign. If you find yourself ticking "yes, it applies" three or four times, you are not engaging a contractor, you are employing someone, and template C5 is the document you actually need.</w:t>
      </w:r>
    </w:p>
    <w:p>
      <w:r>
        <w:br w:type="page"/>
      </w:r>
    </w:p>
    <w:p>
      <w:pPr>
        <w:pStyle w:val="Heading1"/>
      </w:pPr>
      <w:r>
        <w:t>Part 1: The section 200A misclassification test</w:t>
      </w:r>
    </w:p>
    <w:p>
      <w:pPr>
        <w:spacing w:after="120" w:before="0"/>
        <w:jc w:val="both"/>
      </w:pPr>
      <w:r>
        <w:rPr>
          <w:rFonts w:ascii="Open Sans" w:hAnsi="Open Sans"/>
          <w:b w:val="0"/>
          <w:i w:val="0"/>
          <w:sz w:val="21"/>
        </w:rPr>
        <w:t>Section 200A of the Labour Relations Act, and the materially identical section 83A of the Basic Conditions of Employment Act, create a legal presumption. Until the contrary is proved, and regardless of the form of the contract, a person who works for or renders services to another person is presumed to be an employee if ANY ONE OR MORE of the seven factors below is present.</w:t>
      </w:r>
    </w:p>
    <w:p>
      <w:pPr>
        <w:spacing w:after="120" w:before="0"/>
        <w:jc w:val="both"/>
      </w:pPr>
      <w:r>
        <w:rPr>
          <w:rFonts w:ascii="Open Sans" w:hAnsi="Open Sans"/>
          <w:b w:val="0"/>
          <w:i w:val="0"/>
          <w:sz w:val="21"/>
        </w:rPr>
        <w:t>One factor is enough. The factors are not weighed against each other and they are not a score out of seven. Once one is present, the presumption arises and the party who says the person is not an employee has to prove it.</w:t>
      </w:r>
    </w:p>
    <w:tbl>
      <w:tblPr>
        <w:tblW w:type="dxa" w:w="9025"/>
        <w:jc w:val="center"/>
        <w:tblLayout w:type="fixed"/>
        <w:tblLook w:firstColumn="1" w:firstRow="1" w:lastColumn="0" w:lastRow="0" w:noHBand="0" w:noVBand="1" w:val="04A0"/>
      </w:tblPr>
      <w:tblGrid>
        <w:gridCol w:w="451"/>
        <w:gridCol w:w="2978"/>
        <w:gridCol w:w="4242"/>
        <w:gridCol w:w="1353"/>
      </w:tblGrid>
      <w:tr>
        <w:trPr>
          <w:tblHeader w:val="true"/>
        </w:trPr>
        <w:tc>
          <w:tcPr>
            <w:tcW w:type="dxa" w:w="45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FACTOR, AS SECTION 200A STATES IT</w:t>
            </w:r>
          </w:p>
        </w:tc>
        <w:tc>
          <w:tcPr>
            <w:tcW w:type="dxa" w:w="42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KEEPS THIS ON THE CONTRACTOR SIDE OF THE LINE</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PRESENT HERE?</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manner in which the person works is subject to the control or direction of another person.</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client specifies the result. The contractor decides the method, the sequence and the tools.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person's hours of work are subject to the control or direction of another person.</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contractor sets their own hours. Deadlines and site access windows are fine. A fixed 08:00 to 17:00 with a register is not.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 the case of a person who works for an organisation, the person forms part of that organisation.</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contractor is not on the organogram, not in the internal directory, not in staff meetings, and not subject to the disciplinary code.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person has worked for that other person for an average of at least 40 hours per month over the last three months.</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Watch this one. It is arithmetic, not judgement, and roughly two days a month triggers it. On a long engagement it is often unavoidable, which is exactly why the other six matter so much.</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person is economically dependent on the other person.</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contractor has other clients and other income, and losing this contract would not close their business.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45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6</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person is provided with tools of trade or work equipment by the other person.</w:t>
            </w:r>
          </w:p>
        </w:tc>
        <w:tc>
          <w:tcPr>
            <w:tcW w:type="dxa" w:w="42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contractor supplies their own laptop, software, vehicle and tools. Temporary access to a client system for one project is not the same as being issued equipment.</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r>
        <w:trPr>
          <w:cantSplit/>
        </w:trPr>
        <w:tc>
          <w:tcPr>
            <w:tcW w:type="dxa" w:w="45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7</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person only works for or renders services to one person.</w:t>
            </w:r>
          </w:p>
        </w:tc>
        <w:tc>
          <w:tcPr>
            <w:tcW w:type="dxa" w:w="42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contractor genuinely serves other clients, and this agreement does not stop them from doing so.</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[Yes / No]</w:t>
            </w:r>
          </w:p>
        </w:tc>
      </w:tr>
    </w:tbl>
    <w:p>
      <w:pPr>
        <w:spacing w:after="120" w:before="0"/>
        <w:jc w:val="both"/>
      </w:pPr>
      <w:r>
        <w:rPr>
          <w:rFonts w:ascii="Open Sans" w:hAnsi="Open Sans"/>
          <w:b w:val="0"/>
          <w:i w:val="0"/>
          <w:sz w:val="21"/>
        </w:rPr>
        <w:t>Both parties confirm, by signing this agreement, that they have read the seven factors, have answered each one honestly, and understand the consequences if the real relationship changes.</w:t>
      </w:r>
    </w:p>
    <w:p>
      <w:pPr>
        <w:pStyle w:val="Heading2"/>
      </w:pPr>
      <w:r>
        <w:t>The exclusion for higher earners, and its limits</w:t>
      </w:r>
    </w:p>
    <w:p>
      <w:pPr>
        <w:spacing w:after="120" w:before="0"/>
        <w:jc w:val="both"/>
      </w:pPr>
      <w:r>
        <w:rPr>
          <w:rFonts w:ascii="Open Sans" w:hAnsi="Open Sans"/>
          <w:b w:val="0"/>
          <w:i w:val="0"/>
          <w:sz w:val="21"/>
        </w:rPr>
        <w:t>Section 200A(2) says the presumption does not apply to a person who earns more than the amount determined by the Minister under section 6(3) of the BCEA. That earnings threshold is R 269 600.90 a year from 1 May 2026. Confirm the current figure before you rely on it.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Read that carefully, because it is where small businesses go wrong in the other direction. Earning above the threshold does not make someone an independent contractor. It only removes the statutory shortcut. The CCMA still decides status on the common law test, which looks at the whole relationship: who controls the work, whose business it is, who carries the risk of profit and loss, whether the person is part of the organisation, and whether the contract is for services or for the person's productive capacity. A well paid person who is supervised daily, works only for you and uses your equipment is an employee.</w:t>
      </w:r>
    </w:p>
    <w:p>
      <w:pPr>
        <w:pStyle w:val="Heading2"/>
      </w:pPr>
      <w:r>
        <w:t>SARS applies its own tests, separately</w:t>
      </w:r>
    </w:p>
    <w:p>
      <w:pPr>
        <w:spacing w:after="120" w:before="0"/>
        <w:jc w:val="both"/>
      </w:pPr>
      <w:r>
        <w:rPr>
          <w:rFonts w:ascii="Open Sans" w:hAnsi="Open Sans"/>
          <w:b w:val="0"/>
          <w:i w:val="0"/>
          <w:sz w:val="21"/>
        </w:rPr>
        <w:t>A person can be an independent contractor for labour law purposes and still be treated as an employee for PAYE purposes, because the Fourth Schedule to the Income Tax Act runs its own tests. In broad terms:</w:t>
      </w:r>
    </w:p>
    <w:p>
      <w:pPr>
        <w:pStyle w:val="ListBullet"/>
        <w:spacing w:after="60"/>
        <w:ind w:left="340"/>
      </w:pPr>
      <w:r>
        <w:rPr>
          <w:rFonts w:ascii="Open Sans" w:hAnsi="Open Sans"/>
          <w:b w:val="0"/>
          <w:i w:val="0"/>
          <w:sz w:val="21"/>
        </w:rPr>
        <w:t>A person is deemed NOT to be an independent contractor for PAYE purposes if the services are performed mainly at the client's premises AND the person is subject to the client's control or supervision as to the manner in which the duties are performed or as to the hours of work.</w:t>
      </w:r>
    </w:p>
    <w:p>
      <w:pPr>
        <w:pStyle w:val="ListBullet"/>
        <w:spacing w:after="60"/>
        <w:ind w:left="340"/>
      </w:pPr>
      <w:r>
        <w:rPr>
          <w:rFonts w:ascii="Open Sans" w:hAnsi="Open Sans"/>
          <w:b w:val="0"/>
          <w:i w:val="0"/>
          <w:sz w:val="21"/>
        </w:rPr>
        <w:t>That deeming does not apply where the person employs three or more full-time employees, throughout the year of assessment, who are neither connected persons in relation to that person nor holders of shares or members.</w:t>
      </w:r>
    </w:p>
    <w:p>
      <w:pPr>
        <w:pStyle w:val="ListBullet"/>
        <w:spacing w:after="60"/>
        <w:ind w:left="340"/>
      </w:pPr>
      <w:r>
        <w:rPr>
          <w:rFonts w:ascii="Open Sans" w:hAnsi="Open Sans"/>
          <w:b w:val="0"/>
          <w:i w:val="0"/>
          <w:sz w:val="21"/>
        </w:rPr>
        <w:t>Where the contractor trades through a company, close corporation or trust, the personal service provider rules in clause 7 may apply instead.</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Check the current wording of the Fourth Schedule, and SARS Interpretation Note 17 on independent contractors, before you decide not to withhold PAYE. Getting this wrong makes the client liable for the tax, and the client cannot recover it from the contractor afterwards.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r>
        <w:br w:type="page"/>
      </w:r>
    </w:p>
    <w:p>
      <w:pPr>
        <w:pStyle w:val="Heading1"/>
      </w:pPr>
      <w:r>
        <w:t>Part 2: The agreement</w:t>
      </w:r>
    </w:p>
    <w:p>
      <w:pPr>
        <w:spacing w:after="120" w:before="0"/>
        <w:jc w:val="both"/>
      </w:pPr>
      <w:r>
        <w:rPr>
          <w:rFonts w:ascii="Open Sans" w:hAnsi="Open Sans"/>
          <w:b w:val="0"/>
          <w:i w:val="0"/>
          <w:sz w:val="21"/>
        </w:rPr>
        <w:t>Entered into between the parties described below, who agree as follows.</w:t>
      </w:r>
    </w:p>
    <w:p>
      <w:pPr>
        <w:spacing w:after="40" w:before="80"/>
      </w:pPr>
      <w:r>
        <w:rPr>
          <w:rFonts w:ascii="Open Sans" w:hAnsi="Open Sans"/>
          <w:b/>
          <w:i w:val="0"/>
          <w:sz w:val="21"/>
        </w:rPr>
        <w:t>The client:</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legal name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 OR INDIVIDUAL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or ID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[YYYY/XXXXXX/XX]</w:t>
            </w:r>
            <w:r>
              <w:rPr>
                <w:rFonts w:ascii="Open Sans" w:hAnsi="Open Sans"/>
                <w:b w:val="0"/>
                <w:i w:val="0"/>
                <w:sz w:val="21"/>
              </w:rPr>
              <w:t xml:space="preserve"> or </w:t>
            </w:r>
            <w:r>
              <w:rPr>
                <w:rFonts w:ascii="Open Sans" w:hAnsi="Open Sans"/>
                <w:b w:val="0"/>
                <w:i w:val="0"/>
                <w:color w:val="21759B"/>
                <w:sz w:val="21"/>
              </w:rPr>
              <w:t>[YYMMDD XXXX XX 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VAT number</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[4XXXXXXXXX]</w:t>
            </w:r>
            <w:r>
              <w:rPr>
                <w:rFonts w:ascii="Open Sans" w:hAnsi="Open Sans"/>
                <w:b w:val="0"/>
                <w:i w:val="0"/>
                <w:sz w:val="21"/>
              </w:rPr>
              <w:t xml:space="preserve"> or not registered</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Physical address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city, postal code]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Contact person</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and title]</w:t>
            </w:r>
            <w:r>
              <w:rPr>
                <w:rFonts w:ascii="Open Sans" w:hAnsi="Open Sans"/>
                <w:b w:val="0"/>
                <w:i w:val="0"/>
                <w:sz w:val="21"/>
              </w:rPr>
              <w:t xml:space="preserve"> | </w:t>
            </w:r>
            <w:r>
              <w:rPr>
                <w:rFonts w:ascii="Open Sans" w:hAnsi="Open Sans"/>
                <w:b w:val="0"/>
                <w:i w:val="0"/>
                <w:color w:val="21759B"/>
                <w:sz w:val="21"/>
              </w:rPr>
              <w:t>[+27 XX XXX XXXX]</w:t>
            </w:r>
          </w:p>
        </w:tc>
      </w:tr>
    </w:tbl>
    <w:p>
      <w:pPr>
        <w:spacing w:after="40" w:before="120"/>
      </w:pPr>
      <w:r>
        <w:rPr>
          <w:rFonts w:ascii="Open Sans" w:hAnsi="Open Sans"/>
          <w:b/>
          <w:i w:val="0"/>
          <w:sz w:val="21"/>
        </w:rPr>
        <w:t>The contractor:</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legal name or trading name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OR REGISTERED BUSINESS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or ID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[YYYY/XXXXXX/XX]</w:t>
            </w:r>
            <w:r>
              <w:rPr>
                <w:rFonts w:ascii="Open Sans" w:hAnsi="Open Sans"/>
                <w:b w:val="0"/>
                <w:i w:val="0"/>
                <w:sz w:val="21"/>
              </w:rPr>
              <w:t xml:space="preserve"> or </w:t>
            </w:r>
            <w:r>
              <w:rPr>
                <w:rFonts w:ascii="Open Sans" w:hAnsi="Open Sans"/>
                <w:b w:val="0"/>
                <w:i w:val="0"/>
                <w:color w:val="21759B"/>
                <w:sz w:val="21"/>
              </w:rPr>
              <w:t>[YYMMDD XXXX XX 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SARS income tax reference number</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contractor's own tax number]</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VAT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[4XXXXXXXXX]</w:t>
            </w:r>
            <w:r>
              <w:rPr>
                <w:rFonts w:ascii="Open Sans" w:hAnsi="Open Sans"/>
                <w:b w:val="0"/>
                <w:i w:val="0"/>
                <w:sz w:val="21"/>
              </w:rPr>
              <w:t xml:space="preserve"> or not registered</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Nature of the contractor's business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[For example: electrical contracting, graphic design, bookkeeping]</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Other clients currently served</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[List two or three, or state none]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Physical address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city, postal code]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Contact details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[email address]</w:t>
            </w:r>
            <w:r>
              <w:rPr>
                <w:rFonts w:ascii="Open Sans" w:hAnsi="Open Sans"/>
                <w:b w:val="0"/>
                <w:i w:val="0"/>
                <w:sz w:val="21"/>
              </w:rPr>
              <w:t xml:space="preserve"> | </w:t>
            </w:r>
            <w:r>
              <w:rPr>
                <w:rFonts w:ascii="Open Sans" w:hAnsi="Open Sans"/>
                <w:b w:val="0"/>
                <w:i w:val="0"/>
                <w:color w:val="21759B"/>
                <w:sz w:val="21"/>
              </w:rPr>
              <w:t>[+27 XX XXX XXXX]</w:t>
            </w:r>
          </w:p>
        </w:tc>
      </w:tr>
    </w:tbl>
    <w:p>
      <w:pPr>
        <w:spacing w:after="40" w:before="120"/>
      </w:pPr>
      <w:r>
        <w:rPr>
          <w:rFonts w:ascii="Open Sans" w:hAnsi="Open Sans"/>
          <w:b/>
          <w:i w:val="0"/>
          <w:sz w:val="21"/>
        </w:rPr>
        <w:t>Commercial terms:</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Start date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End date or basis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or on completion of the project</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Fee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r>
              <w:rPr>
                <w:rFonts w:ascii="Open Sans" w:hAnsi="Open Sans"/>
                <w:b w:val="0"/>
                <w:i w:val="0"/>
                <w:sz w:val="21"/>
              </w:rPr>
              <w:t xml:space="preserve"> per </w:t>
            </w:r>
            <w:r>
              <w:rPr>
                <w:rFonts w:ascii="Open Sans" w:hAnsi="Open Sans"/>
                <w:b w:val="0"/>
                <w:i w:val="0"/>
                <w:color w:val="21759B"/>
                <w:sz w:val="21"/>
              </w:rPr>
              <w:t>[hour / day / deliverable / month]</w:t>
            </w:r>
            <w:r>
              <w:rPr>
                <w:rFonts w:ascii="Open Sans" w:hAnsi="Open Sans"/>
                <w:b w:val="0"/>
                <w:i w:val="0"/>
                <w:sz w:val="21"/>
              </w:rPr>
              <w:t>, excluding VAT</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Invoicing cycle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[Monthly in arrears / on each milestone]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Payment terms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[30]</w:t>
            </w:r>
            <w:r>
              <w:rPr>
                <w:rFonts w:ascii="Open Sans" w:hAnsi="Open Sans"/>
                <w:b w:val="0"/>
                <w:i w:val="0"/>
                <w:sz w:val="21"/>
              </w:rPr>
              <w:t xml:space="preserve"> days from a valid invoice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Notice period</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[30]</w:t>
            </w:r>
            <w:r>
              <w:rPr>
                <w:rFonts w:ascii="Open Sans" w:hAnsi="Open Sans"/>
                <w:b w:val="0"/>
                <w:i w:val="0"/>
                <w:sz w:val="21"/>
              </w:rPr>
              <w:t xml:space="preserve"> calendar days</w:t>
            </w:r>
          </w:p>
        </w:tc>
      </w:tr>
    </w:tbl>
    <w:p>
      <w:pPr>
        <w:keepNext/>
        <w:spacing w:before="200" w:after="60"/>
      </w:pPr>
      <w:r>
        <w:rPr>
          <w:rFonts w:ascii="Montserrat" w:hAnsi="Montserrat"/>
          <w:b/>
          <w:color w:val="191C4A"/>
          <w:sz w:val="21"/>
        </w:rPr>
        <w:t>1. STATUS OF THE RELATIONSHIP</w:t>
      </w:r>
    </w:p>
    <w:p>
      <w:pPr>
        <w:spacing w:after="80"/>
        <w:ind w:left="624" w:hanging="624"/>
        <w:jc w:val="both"/>
      </w:pPr>
      <w:r>
        <w:rPr>
          <w:rFonts w:ascii="Open Sans" w:hAnsi="Open Sans"/>
          <w:b/>
          <w:color w:val="191C4A"/>
          <w:sz w:val="21"/>
        </w:rPr>
        <w:t>1.1</w:t>
        <w:tab/>
      </w:r>
      <w:r>
        <w:rPr>
          <w:rFonts w:ascii="Open Sans" w:hAnsi="Open Sans"/>
          <w:b w:val="0"/>
          <w:i w:val="0"/>
          <w:sz w:val="21"/>
        </w:rPr>
        <w:t>The contractor renders services to the client as an independent business. This agreement is a contract for services and not a contract of employment.</w:t>
      </w:r>
    </w:p>
    <w:p>
      <w:pPr>
        <w:spacing w:after="80"/>
        <w:ind w:left="624" w:hanging="624"/>
        <w:jc w:val="both"/>
      </w:pPr>
      <w:r>
        <w:rPr>
          <w:rFonts w:ascii="Open Sans" w:hAnsi="Open Sans"/>
          <w:b/>
          <w:color w:val="191C4A"/>
          <w:sz w:val="21"/>
        </w:rPr>
        <w:t>1.2</w:t>
        <w:tab/>
      </w:r>
      <w:r>
        <w:rPr>
          <w:rFonts w:ascii="Open Sans" w:hAnsi="Open Sans"/>
          <w:b w:val="0"/>
          <w:i w:val="0"/>
          <w:sz w:val="21"/>
        </w:rPr>
        <w:t>The contractor is not an employee, agent, partner or joint venturer of the client, and may not represent otherwise or hold themselves out as having authority to bind the client.</w:t>
      </w:r>
    </w:p>
    <w:p>
      <w:pPr>
        <w:spacing w:after="80"/>
        <w:ind w:left="624" w:hanging="624"/>
        <w:jc w:val="both"/>
      </w:pPr>
      <w:r>
        <w:rPr>
          <w:rFonts w:ascii="Open Sans" w:hAnsi="Open Sans"/>
          <w:b/>
          <w:color w:val="191C4A"/>
          <w:sz w:val="21"/>
        </w:rPr>
        <w:t>1.3</w:t>
        <w:tab/>
      </w:r>
      <w:r>
        <w:rPr>
          <w:rFonts w:ascii="Open Sans" w:hAnsi="Open Sans"/>
          <w:b w:val="0"/>
          <w:i w:val="0"/>
          <w:sz w:val="21"/>
        </w:rPr>
        <w:t>The parties record that the seven factors in Part 1 have been considered and answered, and that neither party intends an employment relationship.</w:t>
      </w:r>
    </w:p>
    <w:p>
      <w:pPr>
        <w:spacing w:after="80"/>
        <w:ind w:left="624" w:hanging="624"/>
        <w:jc w:val="both"/>
      </w:pPr>
      <w:r>
        <w:rPr>
          <w:rFonts w:ascii="Open Sans" w:hAnsi="Open Sans"/>
          <w:b/>
          <w:color w:val="191C4A"/>
          <w:sz w:val="21"/>
        </w:rPr>
        <w:t>1.4</w:t>
        <w:tab/>
      </w:r>
      <w:r>
        <w:rPr>
          <w:rFonts w:ascii="Open Sans" w:hAnsi="Open Sans"/>
          <w:b w:val="0"/>
          <w:i w:val="0"/>
          <w:sz w:val="21"/>
        </w:rPr>
        <w:t>If the actual working arrangement changes so that any factor in Part 1 becomes true, the parties will review this agreement promptly and change the arrangement or the contract, or both. A label in a contract does not survive a reality that contradicts it.</w:t>
      </w:r>
    </w:p>
    <w:p>
      <w:pPr>
        <w:spacing w:after="80"/>
        <w:ind w:left="624" w:hanging="624"/>
        <w:jc w:val="both"/>
      </w:pPr>
      <w:r>
        <w:rPr>
          <w:rFonts w:ascii="Open Sans" w:hAnsi="Open Sans"/>
          <w:b/>
          <w:color w:val="191C4A"/>
          <w:sz w:val="21"/>
        </w:rPr>
        <w:t>1.5</w:t>
        <w:tab/>
      </w:r>
      <w:r>
        <w:rPr>
          <w:rFonts w:ascii="Open Sans" w:hAnsi="Open Sans"/>
          <w:b w:val="0"/>
          <w:i w:val="0"/>
          <w:sz w:val="21"/>
        </w:rPr>
        <w:t>Either party may apply to the CCMA for an advisory award on whether the person is an employee, under section 200A(3) of the LRA.</w:t>
      </w:r>
    </w:p>
    <w:p>
      <w:pPr>
        <w:keepNext/>
        <w:spacing w:before="200" w:after="60"/>
      </w:pPr>
      <w:r>
        <w:rPr>
          <w:rFonts w:ascii="Montserrat" w:hAnsi="Montserrat"/>
          <w:b/>
          <w:color w:val="191C4A"/>
          <w:sz w:val="21"/>
        </w:rPr>
        <w:t>2. THE SERVICES</w:t>
      </w:r>
    </w:p>
    <w:p>
      <w:pPr>
        <w:spacing w:after="80"/>
        <w:ind w:left="624" w:hanging="624"/>
        <w:jc w:val="both"/>
      </w:pPr>
      <w:r>
        <w:rPr>
          <w:rFonts w:ascii="Open Sans" w:hAnsi="Open Sans"/>
          <w:b/>
          <w:color w:val="191C4A"/>
          <w:sz w:val="21"/>
        </w:rPr>
        <w:t>2.1</w:t>
        <w:tab/>
      </w:r>
      <w:r>
        <w:rPr>
          <w:rFonts w:ascii="Open Sans" w:hAnsi="Open Sans"/>
          <w:b w:val="0"/>
          <w:i w:val="0"/>
          <w:sz w:val="21"/>
        </w:rPr>
        <w:t>The contractor will provide the services and deliver the deliverables described in Schedule A.</w:t>
      </w:r>
    </w:p>
    <w:p>
      <w:pPr>
        <w:spacing w:after="80"/>
        <w:ind w:left="624" w:hanging="624"/>
        <w:jc w:val="both"/>
      </w:pPr>
      <w:r>
        <w:rPr>
          <w:rFonts w:ascii="Open Sans" w:hAnsi="Open Sans"/>
          <w:b/>
          <w:color w:val="191C4A"/>
          <w:sz w:val="21"/>
        </w:rPr>
        <w:t>2.2</w:t>
        <w:tab/>
      </w:r>
      <w:r>
        <w:rPr>
          <w:rFonts w:ascii="Open Sans" w:hAnsi="Open Sans"/>
          <w:b w:val="0"/>
          <w:i w:val="0"/>
          <w:sz w:val="21"/>
        </w:rPr>
        <w:t>The contractor will perform the services with the professional skill, care and diligence reasonably expected of a competent practitioner in the contractor's field, in accordance with the specifications in Schedule A and with all applicable law.</w:t>
      </w:r>
    </w:p>
    <w:p>
      <w:pPr>
        <w:spacing w:after="80"/>
        <w:ind w:left="624" w:hanging="624"/>
        <w:jc w:val="both"/>
      </w:pPr>
      <w:r>
        <w:rPr>
          <w:rFonts w:ascii="Open Sans" w:hAnsi="Open Sans"/>
          <w:b/>
          <w:color w:val="191C4A"/>
          <w:sz w:val="21"/>
        </w:rPr>
        <w:t>2.3</w:t>
        <w:tab/>
      </w:r>
      <w:r>
        <w:rPr>
          <w:rFonts w:ascii="Open Sans" w:hAnsi="Open Sans"/>
          <w:b w:val="0"/>
          <w:i w:val="0"/>
          <w:sz w:val="21"/>
        </w:rPr>
        <w:t>The contractor is not required to perform work outside Schedule A. Additional work requires a written variation signed by both parties, including an agreed change to the fee and the timeline.</w:t>
      </w:r>
    </w:p>
    <w:p>
      <w:pPr>
        <w:spacing w:after="80"/>
        <w:ind w:left="624" w:hanging="624"/>
        <w:jc w:val="both"/>
      </w:pPr>
      <w:r>
        <w:rPr>
          <w:rFonts w:ascii="Open Sans" w:hAnsi="Open Sans"/>
          <w:b/>
          <w:color w:val="191C4A"/>
          <w:sz w:val="21"/>
        </w:rPr>
        <w:t>2.4</w:t>
        <w:tab/>
      </w:r>
      <w:r>
        <w:rPr>
          <w:rFonts w:ascii="Open Sans" w:hAnsi="Open Sans"/>
          <w:b w:val="0"/>
          <w:i w:val="0"/>
          <w:sz w:val="21"/>
        </w:rPr>
        <w:t>Time is of the essence only in respect of the dates in Schedule A that are marked as such.</w:t>
      </w:r>
    </w:p>
    <w:p>
      <w:pPr>
        <w:spacing w:after="80"/>
        <w:ind w:left="624" w:hanging="624"/>
        <w:jc w:val="both"/>
      </w:pPr>
      <w:r>
        <w:rPr>
          <w:rFonts w:ascii="Open Sans" w:hAnsi="Open Sans"/>
          <w:b/>
          <w:color w:val="191C4A"/>
          <w:sz w:val="21"/>
        </w:rPr>
        <w:t>2.5</w:t>
        <w:tab/>
      </w:r>
      <w:r>
        <w:rPr>
          <w:rFonts w:ascii="Open Sans" w:hAnsi="Open Sans"/>
          <w:b w:val="0"/>
          <w:i w:val="0"/>
          <w:sz w:val="21"/>
        </w:rPr>
        <w:t xml:space="preserve">The contractor will report progress </w:t>
      </w:r>
      <w:r>
        <w:rPr>
          <w:rFonts w:ascii="Open Sans" w:hAnsi="Open Sans"/>
          <w:b w:val="0"/>
          <w:i w:val="0"/>
          <w:color w:val="21759B"/>
          <w:sz w:val="21"/>
        </w:rPr>
        <w:t>[weekly by email to the contact person / at each milestone]</w:t>
      </w:r>
      <w:r>
        <w:rPr>
          <w:rFonts w:ascii="Open Sans" w:hAnsi="Open Sans"/>
          <w:b w:val="0"/>
          <w:i w:val="0"/>
          <w:sz w:val="21"/>
        </w:rPr>
        <w:t>. Reporting on progress is not supervision of method.</w:t>
      </w:r>
    </w:p>
    <w:p>
      <w:pPr>
        <w:keepNext/>
        <w:spacing w:before="200" w:after="60"/>
      </w:pPr>
      <w:r>
        <w:rPr>
          <w:rFonts w:ascii="Montserrat" w:hAnsi="Montserrat"/>
          <w:b/>
          <w:color w:val="191C4A"/>
          <w:sz w:val="21"/>
        </w:rPr>
        <w:t>3. INDEPENDENCE, CONTROL AND METHOD</w:t>
      </w:r>
    </w:p>
    <w:p>
      <w:pPr>
        <w:spacing w:after="80"/>
        <w:ind w:left="624" w:hanging="624"/>
        <w:jc w:val="both"/>
      </w:pPr>
      <w:r>
        <w:rPr>
          <w:rFonts w:ascii="Open Sans" w:hAnsi="Open Sans"/>
          <w:b/>
          <w:color w:val="191C4A"/>
          <w:sz w:val="21"/>
        </w:rPr>
        <w:t>3.1</w:t>
        <w:tab/>
      </w:r>
      <w:r>
        <w:rPr>
          <w:rFonts w:ascii="Open Sans" w:hAnsi="Open Sans"/>
          <w:b w:val="0"/>
          <w:i w:val="0"/>
          <w:sz w:val="21"/>
        </w:rPr>
        <w:t>The contractor determines the manner, method, sequence and process by which the services are performed. The client may specify what outcome it requires and by when, but may not direct how the contractor achieves it.</w:t>
      </w:r>
    </w:p>
    <w:p>
      <w:pPr>
        <w:spacing w:after="80"/>
        <w:ind w:left="624" w:hanging="624"/>
        <w:jc w:val="both"/>
      </w:pPr>
      <w:r>
        <w:rPr>
          <w:rFonts w:ascii="Open Sans" w:hAnsi="Open Sans"/>
          <w:b/>
          <w:color w:val="191C4A"/>
          <w:sz w:val="21"/>
        </w:rPr>
        <w:t>3.2</w:t>
        <w:tab/>
      </w:r>
      <w:r>
        <w:rPr>
          <w:rFonts w:ascii="Open Sans" w:hAnsi="Open Sans"/>
          <w:b w:val="0"/>
          <w:i w:val="0"/>
          <w:sz w:val="21"/>
        </w:rPr>
        <w:t>The contractor decides their own working hours, subject only to agreed deadlines and to any site or system access windows the client must give.</w:t>
      </w:r>
    </w:p>
    <w:p>
      <w:pPr>
        <w:spacing w:after="80"/>
        <w:ind w:left="624" w:hanging="624"/>
        <w:jc w:val="both"/>
      </w:pPr>
      <w:r>
        <w:rPr>
          <w:rFonts w:ascii="Open Sans" w:hAnsi="Open Sans"/>
          <w:b/>
          <w:color w:val="191C4A"/>
          <w:sz w:val="21"/>
        </w:rPr>
        <w:t>3.3</w:t>
        <w:tab/>
      </w:r>
      <w:r>
        <w:rPr>
          <w:rFonts w:ascii="Open Sans" w:hAnsi="Open Sans"/>
          <w:b w:val="0"/>
          <w:i w:val="0"/>
          <w:sz w:val="21"/>
        </w:rPr>
        <w:t>The contractor may perform the services from their own premises, remotely, or at the client's premises where the work requires it. Attendance at the client's premises is for operational convenience and does not create employment.</w:t>
      </w:r>
    </w:p>
    <w:p>
      <w:pPr>
        <w:spacing w:after="80"/>
        <w:ind w:left="624" w:hanging="624"/>
        <w:jc w:val="both"/>
      </w:pPr>
      <w:r>
        <w:rPr>
          <w:rFonts w:ascii="Open Sans" w:hAnsi="Open Sans"/>
          <w:b/>
          <w:color w:val="191C4A"/>
          <w:sz w:val="21"/>
        </w:rPr>
        <w:t>3.4</w:t>
        <w:tab/>
      </w:r>
      <w:r>
        <w:rPr>
          <w:rFonts w:ascii="Open Sans" w:hAnsi="Open Sans"/>
          <w:b w:val="0"/>
          <w:i w:val="0"/>
          <w:sz w:val="21"/>
        </w:rPr>
        <w:t>The contractor may perform services for other clients during this agreement, provided there is no conflict of interest and no breach of clause 10. The client will not unreasonably object.</w:t>
      </w:r>
    </w:p>
    <w:p>
      <w:pPr>
        <w:spacing w:after="80"/>
        <w:ind w:left="624" w:hanging="624"/>
        <w:jc w:val="both"/>
      </w:pPr>
      <w:r>
        <w:rPr>
          <w:rFonts w:ascii="Open Sans" w:hAnsi="Open Sans"/>
          <w:b/>
          <w:color w:val="191C4A"/>
          <w:sz w:val="21"/>
        </w:rPr>
        <w:t>3.5</w:t>
        <w:tab/>
      </w:r>
      <w:r>
        <w:rPr>
          <w:rFonts w:ascii="Open Sans" w:hAnsi="Open Sans"/>
          <w:b w:val="0"/>
          <w:i w:val="0"/>
          <w:sz w:val="21"/>
        </w:rPr>
        <w:t>The contractor may use employees or sub-contractors to perform the services, provided the client is notified in writing, the contractor remains fully responsible for their work and conduct, and the contractor deals with their pay, tax and statutory contributions.</w:t>
      </w:r>
    </w:p>
    <w:p>
      <w:pPr>
        <w:spacing w:after="80"/>
        <w:ind w:left="624" w:hanging="624"/>
        <w:jc w:val="both"/>
      </w:pPr>
      <w:r>
        <w:rPr>
          <w:rFonts w:ascii="Open Sans" w:hAnsi="Open Sans"/>
          <w:b/>
          <w:color w:val="191C4A"/>
          <w:sz w:val="21"/>
        </w:rPr>
        <w:t>3.6</w:t>
        <w:tab/>
      </w:r>
      <w:r>
        <w:rPr>
          <w:rFonts w:ascii="Open Sans" w:hAnsi="Open Sans"/>
          <w:b w:val="0"/>
          <w:i w:val="0"/>
          <w:sz w:val="21"/>
        </w:rPr>
        <w:t>The contractor is not subject to the client's disciplinary code, performance management process, leave system or staff policies, other than site health and safety rules and security rules while on the client's premises.</w:t>
      </w:r>
    </w:p>
    <w:p>
      <w:pPr>
        <w:keepNext/>
        <w:spacing w:before="200" w:after="60"/>
      </w:pPr>
      <w:r>
        <w:rPr>
          <w:rFonts w:ascii="Montserrat" w:hAnsi="Montserrat"/>
          <w:b/>
          <w:color w:val="191C4A"/>
          <w:sz w:val="21"/>
        </w:rPr>
        <w:t>4. TOOLS, EQUIPMENT AND EXPENSES</w:t>
      </w:r>
    </w:p>
    <w:p>
      <w:pPr>
        <w:spacing w:after="80"/>
        <w:ind w:left="624" w:hanging="624"/>
        <w:jc w:val="both"/>
      </w:pPr>
      <w:r>
        <w:rPr>
          <w:rFonts w:ascii="Open Sans" w:hAnsi="Open Sans"/>
          <w:b/>
          <w:color w:val="191C4A"/>
          <w:sz w:val="21"/>
        </w:rPr>
        <w:t>4.1</w:t>
        <w:tab/>
      </w:r>
      <w:r>
        <w:rPr>
          <w:rFonts w:ascii="Open Sans" w:hAnsi="Open Sans"/>
          <w:b w:val="0"/>
          <w:i w:val="0"/>
          <w:sz w:val="21"/>
        </w:rPr>
        <w:t xml:space="preserve">The contractor provides their own tools, equipment, software licences, vehicle and consumables, being </w:t>
      </w:r>
      <w:r>
        <w:rPr>
          <w:rFonts w:ascii="Open Sans" w:hAnsi="Open Sans"/>
          <w:b w:val="0"/>
          <w:i w:val="0"/>
          <w:color w:val="21759B"/>
          <w:sz w:val="21"/>
        </w:rPr>
        <w:t>[list the main items, for example laptop, design software, hand tools, bakkie]</w:t>
      </w:r>
      <w:r>
        <w:rPr>
          <w:rFonts w:ascii="Open Sans" w:hAnsi="Open Sans"/>
          <w:b w:val="0"/>
          <w:i w:val="0"/>
          <w:sz w:val="21"/>
        </w:rPr>
        <w:t>.</w:t>
      </w:r>
    </w:p>
    <w:p>
      <w:pPr>
        <w:spacing w:after="80"/>
        <w:ind w:left="624" w:hanging="624"/>
        <w:jc w:val="both"/>
      </w:pPr>
      <w:r>
        <w:rPr>
          <w:rFonts w:ascii="Open Sans" w:hAnsi="Open Sans"/>
          <w:b/>
          <w:color w:val="191C4A"/>
          <w:sz w:val="21"/>
        </w:rPr>
        <w:t>4.2</w:t>
        <w:tab/>
      </w:r>
      <w:r>
        <w:rPr>
          <w:rFonts w:ascii="Open Sans" w:hAnsi="Open Sans"/>
          <w:b w:val="0"/>
          <w:i w:val="0"/>
          <w:sz w:val="21"/>
        </w:rPr>
        <w:t>The client does not provide the contractor with tools of trade. Where the client gives the contractor access to a specific system, site or piece of equipment for a particular task, that is a temporary permission for that task and is not the provision of tools of trade.</w:t>
      </w:r>
    </w:p>
    <w:p>
      <w:pPr>
        <w:spacing w:after="80"/>
        <w:ind w:left="624" w:hanging="624"/>
        <w:jc w:val="both"/>
      </w:pPr>
      <w:r>
        <w:rPr>
          <w:rFonts w:ascii="Open Sans" w:hAnsi="Open Sans"/>
          <w:b/>
          <w:color w:val="191C4A"/>
          <w:sz w:val="21"/>
        </w:rPr>
        <w:t>4.3</w:t>
        <w:tab/>
      </w:r>
      <w:r>
        <w:rPr>
          <w:rFonts w:ascii="Open Sans" w:hAnsi="Open Sans"/>
          <w:b w:val="0"/>
          <w:i w:val="0"/>
          <w:sz w:val="21"/>
        </w:rPr>
        <w:t>The contractor bears the risk of loss of or damage to their own equipment and is responsible for insuring it.</w:t>
      </w:r>
    </w:p>
    <w:p>
      <w:pPr>
        <w:spacing w:after="80"/>
        <w:ind w:left="624" w:hanging="624"/>
        <w:jc w:val="both"/>
      </w:pPr>
      <w:r>
        <w:rPr>
          <w:rFonts w:ascii="Open Sans" w:hAnsi="Open Sans"/>
          <w:b/>
          <w:color w:val="191C4A"/>
          <w:sz w:val="21"/>
        </w:rPr>
        <w:t>4.4</w:t>
        <w:tab/>
      </w:r>
      <w:r>
        <w:rPr>
          <w:rFonts w:ascii="Open Sans" w:hAnsi="Open Sans"/>
          <w:b w:val="0"/>
          <w:i w:val="0"/>
          <w:sz w:val="21"/>
        </w:rPr>
        <w:t xml:space="preserve">The contractor carries their own overheads. The client reimburses only out-of-pocket expenses that it approved in writing in advance, at cost, against receipts submitted within </w:t>
      </w:r>
      <w:r>
        <w:rPr>
          <w:rFonts w:ascii="Open Sans" w:hAnsi="Open Sans"/>
          <w:b w:val="0"/>
          <w:i w:val="0"/>
          <w:color w:val="21759B"/>
          <w:sz w:val="21"/>
        </w:rPr>
        <w:t>[30]</w:t>
      </w:r>
      <w:r>
        <w:rPr>
          <w:rFonts w:ascii="Open Sans" w:hAnsi="Open Sans"/>
          <w:b w:val="0"/>
          <w:i w:val="0"/>
          <w:sz w:val="21"/>
        </w:rPr>
        <w:t xml:space="preserve"> days.</w:t>
      </w:r>
    </w:p>
    <w:p>
      <w:pPr>
        <w:keepNext/>
        <w:spacing w:before="200" w:after="60"/>
      </w:pPr>
      <w:r>
        <w:rPr>
          <w:rFonts w:ascii="Montserrat" w:hAnsi="Montserrat"/>
          <w:b/>
          <w:color w:val="191C4A"/>
          <w:sz w:val="21"/>
        </w:rPr>
        <w:t>5. FEES, INVOICING AND PAYMENT</w:t>
      </w:r>
    </w:p>
    <w:p>
      <w:pPr>
        <w:spacing w:after="80"/>
        <w:ind w:left="624" w:hanging="624"/>
        <w:jc w:val="both"/>
      </w:pPr>
      <w:r>
        <w:rPr>
          <w:rFonts w:ascii="Open Sans" w:hAnsi="Open Sans"/>
          <w:b/>
          <w:color w:val="191C4A"/>
          <w:sz w:val="21"/>
        </w:rPr>
        <w:t>5.1</w:t>
        <w:tab/>
      </w:r>
      <w:r>
        <w:rPr>
          <w:rFonts w:ascii="Open Sans" w:hAnsi="Open Sans"/>
          <w:b w:val="0"/>
          <w:i w:val="0"/>
          <w:sz w:val="21"/>
        </w:rPr>
        <w:t>The client will pay the contractor the fee set out in the commercial terms and in Schedule A. The fee is the contractor's full consideration for the services.</w:t>
      </w:r>
    </w:p>
    <w:p>
      <w:pPr>
        <w:spacing w:after="80"/>
        <w:ind w:left="624" w:hanging="624"/>
        <w:jc w:val="both"/>
      </w:pPr>
      <w:r>
        <w:rPr>
          <w:rFonts w:ascii="Open Sans" w:hAnsi="Open Sans"/>
          <w:b/>
          <w:color w:val="191C4A"/>
          <w:sz w:val="21"/>
        </w:rPr>
        <w:t>5.2</w:t>
        <w:tab/>
      </w:r>
      <w:r>
        <w:rPr>
          <w:rFonts w:ascii="Open Sans" w:hAnsi="Open Sans"/>
          <w:b w:val="0"/>
          <w:i w:val="0"/>
          <w:sz w:val="21"/>
        </w:rPr>
        <w:t>The fee excludes VAT. Where the contractor is registered for VAT, VAT at 15% is added and the contractor must issue a valid tax invoice. Where the contractor is not registered, no VAT may be charged and the document must not be called a tax invoice.</w:t>
      </w:r>
    </w:p>
    <w:p>
      <w:pPr>
        <w:spacing w:after="80"/>
        <w:ind w:left="624" w:hanging="624"/>
        <w:jc w:val="both"/>
      </w:pPr>
      <w:r>
        <w:rPr>
          <w:rFonts w:ascii="Open Sans" w:hAnsi="Open Sans"/>
          <w:b/>
          <w:color w:val="191C4A"/>
          <w:sz w:val="21"/>
        </w:rPr>
        <w:t>5.3</w:t>
        <w:tab/>
      </w:r>
      <w:r>
        <w:rPr>
          <w:rFonts w:ascii="Open Sans" w:hAnsi="Open Sans"/>
          <w:b w:val="0"/>
          <w:i w:val="0"/>
          <w:sz w:val="21"/>
        </w:rPr>
        <w:t xml:space="preserve">The contractor invoices </w:t>
      </w:r>
      <w:r>
        <w:rPr>
          <w:rFonts w:ascii="Open Sans" w:hAnsi="Open Sans"/>
          <w:b w:val="0"/>
          <w:i w:val="0"/>
          <w:color w:val="21759B"/>
          <w:sz w:val="21"/>
        </w:rPr>
        <w:t>[monthly in arrears / on each milestone]</w:t>
      </w:r>
      <w:r>
        <w:rPr>
          <w:rFonts w:ascii="Open Sans" w:hAnsi="Open Sans"/>
          <w:b w:val="0"/>
          <w:i w:val="0"/>
          <w:sz w:val="21"/>
        </w:rPr>
        <w:t>. Each invoice must carry a unique number, the date, the contractor's full name or registered name and address, the VAT number if registered, a description of the services and the period or milestone, the amount excluding VAT, the VAT if any, the total, and the contractor's banking details.</w:t>
      </w:r>
    </w:p>
    <w:p>
      <w:pPr>
        <w:spacing w:after="80"/>
        <w:ind w:left="624" w:hanging="624"/>
        <w:jc w:val="both"/>
      </w:pPr>
      <w:r>
        <w:rPr>
          <w:rFonts w:ascii="Open Sans" w:hAnsi="Open Sans"/>
          <w:b/>
          <w:color w:val="191C4A"/>
          <w:sz w:val="21"/>
        </w:rPr>
        <w:t>5.4</w:t>
        <w:tab/>
      </w:r>
      <w:r>
        <w:rPr>
          <w:rFonts w:ascii="Open Sans" w:hAnsi="Open Sans"/>
          <w:b w:val="0"/>
          <w:i w:val="0"/>
          <w:sz w:val="21"/>
        </w:rPr>
        <w:t xml:space="preserve">The client pays undisputed invoices within </w:t>
      </w:r>
      <w:r>
        <w:rPr>
          <w:rFonts w:ascii="Open Sans" w:hAnsi="Open Sans"/>
          <w:b w:val="0"/>
          <w:i w:val="0"/>
          <w:color w:val="21759B"/>
          <w:sz w:val="21"/>
        </w:rPr>
        <w:t>[30]</w:t>
      </w:r>
      <w:r>
        <w:rPr>
          <w:rFonts w:ascii="Open Sans" w:hAnsi="Open Sans"/>
          <w:b w:val="0"/>
          <w:i w:val="0"/>
          <w:sz w:val="21"/>
        </w:rPr>
        <w:t xml:space="preserve"> calendar days of receiving a valid invoice, by electronic transfer to the contractor's nominated account. The client may hold back payment of an invoice that does not meet clause 5.3 until a compliant invoice is delivered.</w:t>
      </w:r>
    </w:p>
    <w:p>
      <w:pPr>
        <w:spacing w:after="80"/>
        <w:ind w:left="624" w:hanging="624"/>
        <w:jc w:val="both"/>
      </w:pPr>
      <w:r>
        <w:rPr>
          <w:rFonts w:ascii="Open Sans" w:hAnsi="Open Sans"/>
          <w:b/>
          <w:color w:val="191C4A"/>
          <w:sz w:val="21"/>
        </w:rPr>
        <w:t>5.5</w:t>
        <w:tab/>
      </w:r>
      <w:r>
        <w:rPr>
          <w:rFonts w:ascii="Open Sans" w:hAnsi="Open Sans"/>
          <w:b w:val="0"/>
          <w:i w:val="0"/>
          <w:sz w:val="21"/>
        </w:rPr>
        <w:t xml:space="preserve">If the client disputes an invoice it must say so in writing within </w:t>
      </w:r>
      <w:r>
        <w:rPr>
          <w:rFonts w:ascii="Open Sans" w:hAnsi="Open Sans"/>
          <w:b w:val="0"/>
          <w:i w:val="0"/>
          <w:color w:val="21759B"/>
          <w:sz w:val="21"/>
        </w:rPr>
        <w:t>[10]</w:t>
      </w:r>
      <w:r>
        <w:rPr>
          <w:rFonts w:ascii="Open Sans" w:hAnsi="Open Sans"/>
          <w:b w:val="0"/>
          <w:i w:val="0"/>
          <w:sz w:val="21"/>
        </w:rPr>
        <w:t xml:space="preserve"> business days, giving reasons, and must pay the undisputed part by the due date.</w:t>
      </w:r>
    </w:p>
    <w:p>
      <w:pPr>
        <w:spacing w:after="80"/>
        <w:ind w:left="624" w:hanging="624"/>
        <w:jc w:val="both"/>
      </w:pPr>
      <w:r>
        <w:rPr>
          <w:rFonts w:ascii="Open Sans" w:hAnsi="Open Sans"/>
          <w:b/>
          <w:color w:val="191C4A"/>
          <w:sz w:val="21"/>
        </w:rPr>
        <w:t>5.6</w:t>
        <w:tab/>
      </w:r>
      <w:r>
        <w:rPr>
          <w:rFonts w:ascii="Open Sans" w:hAnsi="Open Sans"/>
          <w:b w:val="0"/>
          <w:i w:val="0"/>
          <w:sz w:val="21"/>
        </w:rPr>
        <w:t xml:space="preserve">Interest on an overdue undisputed invoice runs at </w:t>
      </w:r>
      <w:r>
        <w:rPr>
          <w:rFonts w:ascii="Open Sans" w:hAnsi="Open Sans"/>
          <w:b w:val="0"/>
          <w:i w:val="0"/>
          <w:color w:val="21759B"/>
          <w:sz w:val="21"/>
        </w:rPr>
        <w:t>[2]</w:t>
      </w:r>
      <w:r>
        <w:rPr>
          <w:rFonts w:ascii="Open Sans" w:hAnsi="Open Sans"/>
          <w:b w:val="0"/>
          <w:i w:val="0"/>
          <w:sz w:val="21"/>
        </w:rPr>
        <w:t>% per month from the due date until payment. That is the maximum the National Credit Act allows on incidental credit, and charging more is unlawful.</w:t>
      </w:r>
    </w:p>
    <w:p>
      <w:pPr>
        <w:spacing w:after="80"/>
        <w:ind w:left="624" w:hanging="624"/>
        <w:jc w:val="both"/>
      </w:pPr>
      <w:r>
        <w:rPr>
          <w:rFonts w:ascii="Open Sans" w:hAnsi="Open Sans"/>
          <w:b/>
          <w:color w:val="191C4A"/>
          <w:sz w:val="21"/>
        </w:rPr>
        <w:t>5.7</w:t>
        <w:tab/>
      </w:r>
      <w:r>
        <w:rPr>
          <w:rFonts w:ascii="Open Sans" w:hAnsi="Open Sans"/>
          <w:b w:val="0"/>
          <w:i w:val="0"/>
          <w:sz w:val="21"/>
        </w:rPr>
        <w:t>No fee is payable for a period during which the contractor does not render services, whether because of illness, holiday or any other reason. There is no paid leave under this agreement.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moment you print an interest or late fee term on an invoice, the overdue account becomes an incidental credit agreement under the National Credit Act. Two consequences follow. Interest is capped at 2% a month. And a section 129 notice must be delivered before you can issue summons on the debt. You do not have to register as a credit provider for incidental credit, but you do have to follow the enforcement steps.</w:t>
      </w:r>
    </w:p>
    <w:p>
      <w:pPr>
        <w:keepNext/>
        <w:spacing w:before="200" w:after="60"/>
      </w:pPr>
      <w:r>
        <w:rPr>
          <w:rFonts w:ascii="Montserrat" w:hAnsi="Montserrat"/>
          <w:b/>
          <w:color w:val="191C4A"/>
          <w:sz w:val="21"/>
        </w:rPr>
        <w:t>6. THE CONTRACTOR'S OWN TAX</w:t>
      </w:r>
    </w:p>
    <w:p>
      <w:pPr>
        <w:spacing w:after="80" w:before="0"/>
        <w:jc w:val="both"/>
      </w:pPr>
      <w:r>
        <w:rPr>
          <w:rFonts w:ascii="Open Sans" w:hAnsi="Open Sans"/>
          <w:b w:val="0"/>
          <w:i w:val="0"/>
          <w:sz w:val="21"/>
        </w:rPr>
        <w:t>The contractor is responsible for their own tax. The client does not run a payroll for the contractor.</w:t>
      </w:r>
    </w:p>
    <w:p>
      <w:pPr>
        <w:spacing w:after="80"/>
        <w:ind w:left="624" w:hanging="624"/>
        <w:jc w:val="both"/>
      </w:pPr>
      <w:r>
        <w:rPr>
          <w:rFonts w:ascii="Open Sans" w:hAnsi="Open Sans"/>
          <w:b/>
          <w:color w:val="191C4A"/>
          <w:sz w:val="21"/>
        </w:rPr>
        <w:t>6.1</w:t>
        <w:tab/>
      </w:r>
      <w:r>
        <w:rPr>
          <w:rFonts w:ascii="Open Sans" w:hAnsi="Open Sans"/>
          <w:b w:val="0"/>
          <w:i w:val="0"/>
          <w:sz w:val="21"/>
        </w:rPr>
        <w:t>The client will not deduct PAYE from the fee, except where the law requires it, including where clause 7 applies.</w:t>
      </w:r>
    </w:p>
    <w:p>
      <w:pPr>
        <w:spacing w:after="80"/>
        <w:ind w:left="624" w:hanging="624"/>
        <w:jc w:val="both"/>
      </w:pPr>
      <w:r>
        <w:rPr>
          <w:rFonts w:ascii="Open Sans" w:hAnsi="Open Sans"/>
          <w:b/>
          <w:color w:val="191C4A"/>
          <w:sz w:val="21"/>
        </w:rPr>
        <w:t>6.2</w:t>
        <w:tab/>
      </w:r>
      <w:r>
        <w:rPr>
          <w:rFonts w:ascii="Open Sans" w:hAnsi="Open Sans"/>
          <w:b w:val="0"/>
          <w:i w:val="0"/>
          <w:sz w:val="21"/>
        </w:rPr>
        <w:t>The contractor is registered with SARS for income tax and will remain registered and compliant. The contractor is a provisional taxpayer and must submit an IRP6 for the first period within six months of the start of the year of assessment, being 31 August for a February year end, and a second IRP6 by the last day of the year of assessment, being 28 or 29 February. An optional third top up payment may be made by 30 September.</w:t>
      </w:r>
    </w:p>
    <w:p>
      <w:pPr>
        <w:spacing w:after="80"/>
        <w:ind w:left="624" w:hanging="624"/>
        <w:jc w:val="both"/>
      </w:pPr>
      <w:r>
        <w:rPr>
          <w:rFonts w:ascii="Open Sans" w:hAnsi="Open Sans"/>
          <w:b/>
          <w:color w:val="191C4A"/>
          <w:sz w:val="21"/>
        </w:rPr>
        <w:t>6.3</w:t>
        <w:tab/>
      </w:r>
      <w:r>
        <w:rPr>
          <w:rFonts w:ascii="Open Sans" w:hAnsi="Open Sans"/>
          <w:b w:val="0"/>
          <w:i w:val="0"/>
          <w:sz w:val="21"/>
        </w:rPr>
        <w:t>The contractor must register for VAT once taxable turnover exceeds R 2 300 000 in any consecutive 12 month period, and may register voluntarily from R 120 000. Those thresholds changed on 1 April 2026. The contractor must tell the client in writing as soon as they register, so that invoicing can be corrected.</w:t>
      </w:r>
    </w:p>
    <w:p>
      <w:pPr>
        <w:spacing w:after="80"/>
        <w:ind w:left="624" w:hanging="624"/>
        <w:jc w:val="both"/>
      </w:pPr>
      <w:r>
        <w:rPr>
          <w:rFonts w:ascii="Open Sans" w:hAnsi="Open Sans"/>
          <w:b/>
          <w:color w:val="191C4A"/>
          <w:sz w:val="21"/>
        </w:rPr>
        <w:t>6.4</w:t>
        <w:tab/>
      </w:r>
      <w:r>
        <w:rPr>
          <w:rFonts w:ascii="Open Sans" w:hAnsi="Open Sans"/>
          <w:b w:val="0"/>
          <w:i w:val="0"/>
          <w:sz w:val="21"/>
        </w:rPr>
        <w:t>The contractor receives no UIF benefits from this engagement and no UIF contribution is made by either party. No Skills Development Levy is payable on the fee.</w:t>
      </w:r>
    </w:p>
    <w:p>
      <w:pPr>
        <w:spacing w:after="80"/>
        <w:ind w:left="624" w:hanging="624"/>
        <w:jc w:val="both"/>
      </w:pPr>
      <w:r>
        <w:rPr>
          <w:rFonts w:ascii="Open Sans" w:hAnsi="Open Sans"/>
          <w:b/>
          <w:color w:val="191C4A"/>
          <w:sz w:val="21"/>
        </w:rPr>
        <w:t>6.5</w:t>
        <w:tab/>
      </w:r>
      <w:r>
        <w:rPr>
          <w:rFonts w:ascii="Open Sans" w:hAnsi="Open Sans"/>
          <w:b w:val="0"/>
          <w:i w:val="0"/>
          <w:sz w:val="21"/>
        </w:rPr>
        <w:t>The contractor is not covered by the client's Compensation Fund registration and must arrange their own cover for injury or illness arising out of the work, including cover for any of their own employees.</w:t>
      </w:r>
    </w:p>
    <w:p>
      <w:pPr>
        <w:spacing w:after="80"/>
        <w:ind w:left="624" w:hanging="624"/>
        <w:jc w:val="both"/>
      </w:pPr>
      <w:r>
        <w:rPr>
          <w:rFonts w:ascii="Open Sans" w:hAnsi="Open Sans"/>
          <w:b/>
          <w:color w:val="191C4A"/>
          <w:sz w:val="21"/>
        </w:rPr>
        <w:t>6.6</w:t>
        <w:tab/>
      </w:r>
      <w:r>
        <w:rPr>
          <w:rFonts w:ascii="Open Sans" w:hAnsi="Open Sans"/>
          <w:b w:val="0"/>
          <w:i w:val="0"/>
          <w:sz w:val="21"/>
        </w:rPr>
        <w:t>The contractor indemnifies the client against any tax, levy, penalty or interest that SARS raises against the client as a result of the contractor's own failure to comply with their tax obligations.</w:t>
      </w:r>
    </w:p>
    <w:p>
      <w:pPr>
        <w:keepNext/>
        <w:spacing w:before="200" w:after="60"/>
      </w:pPr>
      <w:r>
        <w:rPr>
          <w:rFonts w:ascii="Montserrat" w:hAnsi="Montserrat"/>
          <w:b/>
          <w:color w:val="191C4A"/>
          <w:sz w:val="21"/>
        </w:rPr>
        <w:t>7. THE PERSONAL SERVICE PROVIDER RISK</w:t>
      </w:r>
    </w:p>
    <w:p>
      <w:pPr>
        <w:spacing w:after="80" w:before="0"/>
        <w:jc w:val="both"/>
      </w:pPr>
      <w:r>
        <w:rPr>
          <w:rFonts w:ascii="Open Sans" w:hAnsi="Open Sans"/>
          <w:b w:val="0"/>
          <w:i w:val="0"/>
          <w:sz w:val="21"/>
        </w:rPr>
        <w:t>This clause matters where the contractor trades through a company, close corporation or trust rather than in their own name.</w:t>
      </w:r>
    </w:p>
    <w:p>
      <w:pPr>
        <w:spacing w:after="80"/>
        <w:ind w:left="624" w:hanging="624"/>
        <w:jc w:val="both"/>
      </w:pPr>
      <w:r>
        <w:rPr>
          <w:rFonts w:ascii="Open Sans" w:hAnsi="Open Sans"/>
          <w:b/>
          <w:color w:val="191C4A"/>
          <w:sz w:val="21"/>
        </w:rPr>
        <w:t>7.1</w:t>
        <w:tab/>
      </w:r>
      <w:r>
        <w:rPr>
          <w:rFonts w:ascii="Open Sans" w:hAnsi="Open Sans"/>
          <w:b w:val="0"/>
          <w:i w:val="0"/>
          <w:sz w:val="21"/>
        </w:rPr>
        <w:t>The Fourth Schedule to the Income Tax Act treats certain companies, close corporations and trusts as "personal service providers". In broad terms an entity is a personal service provider where the service is rendered personally by a connected person and any of the following applies: that person would have been regarded as an employee of the client had the service been rendered directly; or the duties are performed mainly at the client's premises and the person is subject to the client's control or supervision as to the manner of work or the hours; or the entity derives more than 80% of its income from one client.</w:t>
      </w:r>
    </w:p>
    <w:p>
      <w:pPr>
        <w:spacing w:after="80"/>
        <w:ind w:left="624" w:hanging="624"/>
        <w:jc w:val="both"/>
      </w:pPr>
      <w:r>
        <w:rPr>
          <w:rFonts w:ascii="Open Sans" w:hAnsi="Open Sans"/>
          <w:b/>
          <w:color w:val="191C4A"/>
          <w:sz w:val="21"/>
        </w:rPr>
        <w:t>7.2</w:t>
        <w:tab/>
      </w:r>
      <w:r>
        <w:rPr>
          <w:rFonts w:ascii="Open Sans" w:hAnsi="Open Sans"/>
          <w:b w:val="0"/>
          <w:i w:val="0"/>
          <w:sz w:val="21"/>
        </w:rPr>
        <w:t>An entity is not a personal service provider if it employs three or more full-time employees throughout the year of assessment who are engaged in its business, and who are not shareholders, members or connected persons in relation to it.</w:t>
      </w:r>
    </w:p>
    <w:p>
      <w:pPr>
        <w:spacing w:after="80"/>
        <w:ind w:left="624" w:hanging="624"/>
        <w:jc w:val="both"/>
      </w:pPr>
      <w:r>
        <w:rPr>
          <w:rFonts w:ascii="Open Sans" w:hAnsi="Open Sans"/>
          <w:b/>
          <w:color w:val="191C4A"/>
          <w:sz w:val="21"/>
        </w:rPr>
        <w:t>7.3</w:t>
        <w:tab/>
      </w:r>
      <w:r>
        <w:rPr>
          <w:rFonts w:ascii="Open Sans" w:hAnsi="Open Sans"/>
          <w:b w:val="0"/>
          <w:i w:val="0"/>
          <w:sz w:val="21"/>
        </w:rPr>
        <w:t>Where the contractor is a personal service provider, the client is obliged to withhold PAYE from every payment at the rate the Fourth Schedule prescribes, and to pay it over to SARS. That obligation sits on the client and cannot be contracted away.</w:t>
      </w:r>
    </w:p>
    <w:p>
      <w:pPr>
        <w:spacing w:after="80"/>
        <w:ind w:left="624" w:hanging="624"/>
        <w:jc w:val="both"/>
      </w:pPr>
      <w:r>
        <w:rPr>
          <w:rFonts w:ascii="Open Sans" w:hAnsi="Open Sans"/>
          <w:b/>
          <w:color w:val="191C4A"/>
          <w:sz w:val="21"/>
        </w:rPr>
        <w:t>7.4</w:t>
        <w:tab/>
      </w:r>
      <w:r>
        <w:rPr>
          <w:rFonts w:ascii="Open Sans" w:hAnsi="Open Sans"/>
          <w:b w:val="0"/>
          <w:i w:val="0"/>
          <w:sz w:val="21"/>
        </w:rPr>
        <w:t>The contractor warrants that it is not a personal service provider in relation to the client, and will tell the client in writing immediately if that changes. The contractor will, on request, give the client a copy of any SARS directive, and the client may withhold PAYE at the prescribed rate until it receives one.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Confirm the current withholding rate for a personal service provider with SARS or your accountant before the first payment. It is linked to the applicable income tax rate and it moves, so no rate is printed in this template. The deductions a personal service provider may claim are also severely restricted, which is usually a bigger cost to the contractor than the withholding itself.</w:t>
      </w:r>
    </w:p>
    <w:p>
      <w:pPr>
        <w:keepNext/>
        <w:spacing w:before="200" w:after="60"/>
      </w:pPr>
      <w:r>
        <w:rPr>
          <w:rFonts w:ascii="Montserrat" w:hAnsi="Montserrat"/>
          <w:b/>
          <w:color w:val="191C4A"/>
          <w:sz w:val="21"/>
        </w:rPr>
        <w:t>8. NO EMPLOYEE BENEFITS</w:t>
      </w:r>
    </w:p>
    <w:p>
      <w:pPr>
        <w:spacing w:after="80" w:before="0"/>
        <w:jc w:val="both"/>
      </w:pPr>
      <w:r>
        <w:rPr>
          <w:rFonts w:ascii="Open Sans" w:hAnsi="Open Sans"/>
          <w:b w:val="0"/>
          <w:i w:val="0"/>
          <w:sz w:val="21"/>
        </w:rPr>
        <w:t>The contractor is not entitled to, and this agreement does not provide:</w:t>
      </w:r>
    </w:p>
    <w:p>
      <w:pPr>
        <w:spacing w:after="80"/>
        <w:ind w:left="624" w:hanging="624"/>
        <w:jc w:val="both"/>
      </w:pPr>
      <w:r>
        <w:rPr>
          <w:rFonts w:ascii="Open Sans" w:hAnsi="Open Sans"/>
          <w:b/>
          <w:color w:val="191C4A"/>
          <w:sz w:val="21"/>
        </w:rPr>
        <w:t>8.1</w:t>
        <w:tab/>
      </w:r>
      <w:r>
        <w:rPr>
          <w:rFonts w:ascii="Open Sans" w:hAnsi="Open Sans"/>
          <w:b w:val="0"/>
          <w:i w:val="0"/>
          <w:sz w:val="21"/>
        </w:rPr>
        <w:t>annual leave, sick leave, family responsibility leave, parental leave or public holiday pay;</w:t>
      </w:r>
    </w:p>
    <w:p>
      <w:pPr>
        <w:spacing w:after="80"/>
        <w:ind w:left="624" w:hanging="624"/>
        <w:jc w:val="both"/>
      </w:pPr>
      <w:r>
        <w:rPr>
          <w:rFonts w:ascii="Open Sans" w:hAnsi="Open Sans"/>
          <w:b/>
          <w:color w:val="191C4A"/>
          <w:sz w:val="21"/>
        </w:rPr>
        <w:t>8.2</w:t>
        <w:tab/>
      </w:r>
      <w:r>
        <w:rPr>
          <w:rFonts w:ascii="Open Sans" w:hAnsi="Open Sans"/>
          <w:b w:val="0"/>
          <w:i w:val="0"/>
          <w:sz w:val="21"/>
        </w:rPr>
        <w:t>overtime, Sunday pay, a night shift allowance or a thirteenth cheque;</w:t>
      </w:r>
    </w:p>
    <w:p>
      <w:pPr>
        <w:spacing w:after="80"/>
        <w:ind w:left="624" w:hanging="624"/>
        <w:jc w:val="both"/>
      </w:pPr>
      <w:r>
        <w:rPr>
          <w:rFonts w:ascii="Open Sans" w:hAnsi="Open Sans"/>
          <w:b/>
          <w:color w:val="191C4A"/>
          <w:sz w:val="21"/>
        </w:rPr>
        <w:t>8.3</w:t>
        <w:tab/>
      </w:r>
      <w:r>
        <w:rPr>
          <w:rFonts w:ascii="Open Sans" w:hAnsi="Open Sans"/>
          <w:b w:val="0"/>
          <w:i w:val="0"/>
          <w:sz w:val="21"/>
        </w:rPr>
        <w:t>medical scheme, retirement fund, group life or any other employee benefit;</w:t>
      </w:r>
    </w:p>
    <w:p>
      <w:pPr>
        <w:spacing w:after="80"/>
        <w:ind w:left="624" w:hanging="624"/>
        <w:jc w:val="both"/>
      </w:pPr>
      <w:r>
        <w:rPr>
          <w:rFonts w:ascii="Open Sans" w:hAnsi="Open Sans"/>
          <w:b/>
          <w:color w:val="191C4A"/>
          <w:sz w:val="21"/>
        </w:rPr>
        <w:t>8.4</w:t>
        <w:tab/>
      </w:r>
      <w:r>
        <w:rPr>
          <w:rFonts w:ascii="Open Sans" w:hAnsi="Open Sans"/>
          <w:b w:val="0"/>
          <w:i w:val="0"/>
          <w:sz w:val="21"/>
        </w:rPr>
        <w:t>severance pay, notice pay beyond clause 13, or any claim under the Labour Relations Act for unfair dismissal or unfair labour practice; or</w:t>
      </w:r>
    </w:p>
    <w:p>
      <w:pPr>
        <w:spacing w:after="80"/>
        <w:ind w:left="624" w:hanging="624"/>
        <w:jc w:val="both"/>
      </w:pPr>
      <w:r>
        <w:rPr>
          <w:rFonts w:ascii="Open Sans" w:hAnsi="Open Sans"/>
          <w:b/>
          <w:color w:val="191C4A"/>
          <w:sz w:val="21"/>
        </w:rPr>
        <w:t>8.5</w:t>
        <w:tab/>
      </w:r>
      <w:r>
        <w:rPr>
          <w:rFonts w:ascii="Open Sans" w:hAnsi="Open Sans"/>
          <w:b w:val="0"/>
          <w:i w:val="0"/>
          <w:sz w:val="21"/>
        </w:rPr>
        <w:t>any contribution to the Unemployment Insurance Fund.</w:t>
      </w:r>
    </w:p>
    <w:p>
      <w:pPr>
        <w:spacing w:after="80" w:before="0"/>
        <w:ind w:left="624"/>
        <w:jc w:val="both"/>
      </w:pPr>
      <w:r>
        <w:rPr>
          <w:rFonts w:ascii="Open Sans" w:hAnsi="Open Sans"/>
          <w:b w:val="0"/>
          <w:i w:val="0"/>
          <w:sz w:val="21"/>
        </w:rPr>
        <w:t>8.6</w:t>
        <w:tab/>
        <w:t>The fee in this agreement is set on the basis that the contractor carries these costs out of it. That is one of the things that makes the relationship commercial rather than an employment relationship at a discount.</w:t>
      </w:r>
    </w:p>
    <w:p>
      <w:pPr>
        <w:keepNext/>
        <w:spacing w:before="200" w:after="60"/>
      </w:pPr>
      <w:r>
        <w:rPr>
          <w:rFonts w:ascii="Montserrat" w:hAnsi="Montserrat"/>
          <w:b/>
          <w:color w:val="191C4A"/>
          <w:sz w:val="21"/>
        </w:rPr>
        <w:t>9. INTELLECTUAL PROPERTY</w:t>
      </w:r>
    </w:p>
    <w:p>
      <w:pPr>
        <w:spacing w:after="80"/>
        <w:ind w:left="624" w:hanging="624"/>
        <w:jc w:val="both"/>
      </w:pPr>
      <w:r>
        <w:rPr>
          <w:rFonts w:ascii="Open Sans" w:hAnsi="Open Sans"/>
          <w:b/>
          <w:color w:val="191C4A"/>
          <w:sz w:val="21"/>
        </w:rPr>
        <w:t>9.1</w:t>
        <w:tab/>
      </w:r>
      <w:r>
        <w:rPr>
          <w:rFonts w:ascii="Open Sans" w:hAnsi="Open Sans"/>
          <w:b w:val="0"/>
          <w:i w:val="0"/>
          <w:sz w:val="21"/>
        </w:rPr>
        <w:t>Background intellectual property, meaning anything either party owned before this agreement or developed independently of it, stays with the party that owns it. Each party grants the other a licence to use its background intellectual property only so far as this agreement requires.</w:t>
      </w:r>
    </w:p>
    <w:p>
      <w:pPr>
        <w:spacing w:after="80"/>
        <w:ind w:left="624" w:hanging="624"/>
        <w:jc w:val="both"/>
      </w:pPr>
      <w:r>
        <w:rPr>
          <w:rFonts w:ascii="Open Sans" w:hAnsi="Open Sans"/>
          <w:b/>
          <w:color w:val="191C4A"/>
          <w:sz w:val="21"/>
        </w:rPr>
        <w:t>9.2</w:t>
        <w:tab/>
      </w:r>
      <w:r>
        <w:rPr>
          <w:rFonts w:ascii="Open Sans" w:hAnsi="Open Sans"/>
          <w:b w:val="0"/>
          <w:i w:val="0"/>
          <w:sz w:val="21"/>
        </w:rPr>
        <w:t>Choose one and delete the other. OPTION A, ownership passes to the client: all intellectual property the contractor creates specifically for the client in performing the services vests in the client on creation, and to the extent it does not vest automatically the contractor assigns it to the client and will sign whatever further documents are reasonably needed to register or record that assignment.</w:t>
      </w:r>
    </w:p>
    <w:p>
      <w:pPr>
        <w:spacing w:after="80"/>
        <w:ind w:left="624" w:hanging="624"/>
        <w:jc w:val="both"/>
      </w:pPr>
      <w:r>
        <w:rPr>
          <w:rFonts w:ascii="Open Sans" w:hAnsi="Open Sans"/>
          <w:b/>
          <w:color w:val="191C4A"/>
          <w:sz w:val="21"/>
        </w:rPr>
        <w:t>9.3</w:t>
        <w:tab/>
      </w:r>
      <w:r>
        <w:rPr>
          <w:rFonts w:ascii="Open Sans" w:hAnsi="Open Sans"/>
          <w:b w:val="0"/>
          <w:i w:val="0"/>
          <w:sz w:val="21"/>
        </w:rPr>
        <w:t>OPTION B, ownership stays with the contractor: the intellectual property remains the contractor's, and the contractor grants the client a perpetual, irrevocable, non-exclusive, royalty free licence to use, copy and adapt it for the purpose for which it was created.</w:t>
      </w:r>
    </w:p>
    <w:p>
      <w:pPr>
        <w:spacing w:after="80"/>
        <w:ind w:left="624" w:hanging="624"/>
        <w:jc w:val="both"/>
      </w:pPr>
      <w:r>
        <w:rPr>
          <w:rFonts w:ascii="Open Sans" w:hAnsi="Open Sans"/>
          <w:b/>
          <w:color w:val="191C4A"/>
          <w:sz w:val="21"/>
        </w:rPr>
        <w:t>9.4</w:t>
        <w:tab/>
      </w:r>
      <w:r>
        <w:rPr>
          <w:rFonts w:ascii="Open Sans" w:hAnsi="Open Sans"/>
          <w:b w:val="0"/>
          <w:i w:val="0"/>
          <w:sz w:val="21"/>
        </w:rPr>
        <w:t>Any assignment or licence under this clause takes effect only once the contractor has been paid in full for the work in question.</w:t>
      </w:r>
    </w:p>
    <w:p>
      <w:pPr>
        <w:spacing w:after="80"/>
        <w:ind w:left="624" w:hanging="624"/>
        <w:jc w:val="both"/>
      </w:pPr>
      <w:r>
        <w:rPr>
          <w:rFonts w:ascii="Open Sans" w:hAnsi="Open Sans"/>
          <w:b/>
          <w:color w:val="191C4A"/>
          <w:sz w:val="21"/>
        </w:rPr>
        <w:t>9.5</w:t>
        <w:tab/>
      </w:r>
      <w:r>
        <w:rPr>
          <w:rFonts w:ascii="Open Sans" w:hAnsi="Open Sans"/>
          <w:b w:val="0"/>
          <w:i w:val="0"/>
          <w:sz w:val="21"/>
        </w:rPr>
        <w:t>The contractor warrants that the deliverables are original or properly licensed, and do not infringe anyone else's intellectual property rights.</w:t>
      </w:r>
    </w:p>
    <w:p>
      <w:pPr>
        <w:spacing w:after="80"/>
        <w:ind w:left="624" w:hanging="624"/>
        <w:jc w:val="both"/>
      </w:pPr>
      <w:r>
        <w:rPr>
          <w:rFonts w:ascii="Open Sans" w:hAnsi="Open Sans"/>
          <w:b/>
          <w:color w:val="191C4A"/>
          <w:sz w:val="21"/>
        </w:rPr>
        <w:t>9.6</w:t>
        <w:tab/>
      </w:r>
      <w:r>
        <w:rPr>
          <w:rFonts w:ascii="Open Sans" w:hAnsi="Open Sans"/>
          <w:b w:val="0"/>
          <w:i w:val="0"/>
          <w:sz w:val="21"/>
        </w:rPr>
        <w:t>The contractor may include the deliverables in a portfolio, and may name the client as a client, only with the client's written consent, which will not be unreasonably withheld.</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Option A suits bespoke work: a website, a logo, a custom report, a set of drawings. Option B suits a consultant who reuses their own methodology, templates or code library across clients. If you choose Option A and the contractor's price does not reflect it, expect to negotiate: transferring ownership is worth money.</w:t>
      </w:r>
    </w:p>
    <w:p>
      <w:pPr>
        <w:keepNext/>
        <w:spacing w:before="200" w:after="60"/>
      </w:pPr>
      <w:r>
        <w:rPr>
          <w:rFonts w:ascii="Montserrat" w:hAnsi="Montserrat"/>
          <w:b/>
          <w:color w:val="191C4A"/>
          <w:sz w:val="21"/>
        </w:rPr>
        <w:t>10. CONFIDENTIALITY AND PERSONAL INFORMATION</w:t>
      </w:r>
    </w:p>
    <w:p>
      <w:pPr>
        <w:spacing w:after="80"/>
        <w:ind w:left="624" w:hanging="624"/>
        <w:jc w:val="both"/>
      </w:pPr>
      <w:r>
        <w:rPr>
          <w:rFonts w:ascii="Open Sans" w:hAnsi="Open Sans"/>
          <w:b/>
          <w:color w:val="191C4A"/>
          <w:sz w:val="21"/>
        </w:rPr>
        <w:t>10.1</w:t>
        <w:tab/>
      </w:r>
      <w:r>
        <w:rPr>
          <w:rFonts w:ascii="Open Sans" w:hAnsi="Open Sans"/>
          <w:b w:val="0"/>
          <w:i w:val="0"/>
          <w:sz w:val="21"/>
        </w:rPr>
        <w:t>Each party may receive confidential information from the other, including business plans, financial information, pricing, customer and supplier lists, methods, software and personal information. Each will keep it confidential, use it only to perform this agreement, and not disclose it without written consent.</w:t>
      </w:r>
    </w:p>
    <w:p>
      <w:pPr>
        <w:spacing w:after="80"/>
        <w:ind w:left="624" w:hanging="624"/>
        <w:jc w:val="both"/>
      </w:pPr>
      <w:r>
        <w:rPr>
          <w:rFonts w:ascii="Open Sans" w:hAnsi="Open Sans"/>
          <w:b/>
          <w:color w:val="191C4A"/>
          <w:sz w:val="21"/>
        </w:rPr>
        <w:t>10.2</w:t>
        <w:tab/>
      </w:r>
      <w:r>
        <w:rPr>
          <w:rFonts w:ascii="Open Sans" w:hAnsi="Open Sans"/>
          <w:b w:val="0"/>
          <w:i w:val="0"/>
          <w:sz w:val="21"/>
        </w:rPr>
        <w:t>The obligation does not cover information that is public other than through a breach, information the receiving party already lawfully had, or disclosure that the law, a court or SARS requires, in which case the receiving party must give prompt written notice where it lawfully can.</w:t>
      </w:r>
    </w:p>
    <w:p>
      <w:pPr>
        <w:spacing w:after="80"/>
        <w:ind w:left="624" w:hanging="624"/>
        <w:jc w:val="both"/>
      </w:pPr>
      <w:r>
        <w:rPr>
          <w:rFonts w:ascii="Open Sans" w:hAnsi="Open Sans"/>
          <w:b/>
          <w:color w:val="191C4A"/>
          <w:sz w:val="21"/>
        </w:rPr>
        <w:t>10.3</w:t>
        <w:tab/>
      </w:r>
      <w:r>
        <w:rPr>
          <w:rFonts w:ascii="Open Sans" w:hAnsi="Open Sans"/>
          <w:b w:val="0"/>
          <w:i w:val="0"/>
          <w:sz w:val="21"/>
        </w:rPr>
        <w:t>Where the contractor processes personal information on behalf of the client, the contractor is an operator under the Protection of Personal Information Act 4 of 2013. The contractor will process personal information only on the client's written instructions, will secure it with appropriate technical and organisational measures as section 19 requires, and will not engage a sub-operator without the client's written consent.</w:t>
      </w:r>
    </w:p>
    <w:p>
      <w:pPr>
        <w:spacing w:after="80"/>
        <w:ind w:left="624" w:hanging="624"/>
        <w:jc w:val="both"/>
      </w:pPr>
      <w:r>
        <w:rPr>
          <w:rFonts w:ascii="Open Sans" w:hAnsi="Open Sans"/>
          <w:b/>
          <w:color w:val="191C4A"/>
          <w:sz w:val="21"/>
        </w:rPr>
        <w:t>10.4</w:t>
        <w:tab/>
      </w:r>
      <w:r>
        <w:rPr>
          <w:rFonts w:ascii="Open Sans" w:hAnsi="Open Sans"/>
          <w:b w:val="0"/>
          <w:i w:val="0"/>
          <w:sz w:val="21"/>
        </w:rPr>
        <w:t>If the contractor has reasonable grounds to believe that personal information has been accessed or acquired by an unauthorised person, it will notify the client in writing as soon as reasonably possible after discovering it, so that the client can meet its obligation under section 22 of POPIA to notify the Information Regulator and the affected people. POPIA sets no 72 hour deadline.</w:t>
      </w:r>
    </w:p>
    <w:p>
      <w:pPr>
        <w:spacing w:after="80"/>
        <w:ind w:left="624" w:hanging="624"/>
        <w:jc w:val="both"/>
      </w:pPr>
      <w:r>
        <w:rPr>
          <w:rFonts w:ascii="Open Sans" w:hAnsi="Open Sans"/>
          <w:b/>
          <w:color w:val="191C4A"/>
          <w:sz w:val="21"/>
        </w:rPr>
        <w:t>10.5</w:t>
        <w:tab/>
      </w:r>
      <w:r>
        <w:rPr>
          <w:rFonts w:ascii="Open Sans" w:hAnsi="Open Sans"/>
          <w:b w:val="0"/>
          <w:i w:val="0"/>
          <w:sz w:val="21"/>
        </w:rPr>
        <w:t>On termination the contractor will return or securely destroy all confidential information and personal information, and confirm in writing that it has done so.</w:t>
      </w:r>
    </w:p>
    <w:p>
      <w:pPr>
        <w:spacing w:after="80"/>
        <w:ind w:left="624" w:hanging="624"/>
        <w:jc w:val="both"/>
      </w:pPr>
      <w:r>
        <w:rPr>
          <w:rFonts w:ascii="Open Sans" w:hAnsi="Open Sans"/>
          <w:b/>
          <w:color w:val="191C4A"/>
          <w:sz w:val="21"/>
        </w:rPr>
        <w:t>10.6</w:t>
        <w:tab/>
      </w:r>
      <w:r>
        <w:rPr>
          <w:rFonts w:ascii="Open Sans" w:hAnsi="Open Sans"/>
          <w:b w:val="0"/>
          <w:i w:val="0"/>
          <w:sz w:val="21"/>
        </w:rPr>
        <w:t xml:space="preserve">This clause survives termination for </w:t>
      </w:r>
      <w:r>
        <w:rPr>
          <w:rFonts w:ascii="Open Sans" w:hAnsi="Open Sans"/>
          <w:b w:val="0"/>
          <w:i w:val="0"/>
          <w:color w:val="21759B"/>
          <w:sz w:val="21"/>
        </w:rPr>
        <w:t>[3]</w:t>
      </w:r>
      <w:r>
        <w:rPr>
          <w:rFonts w:ascii="Open Sans" w:hAnsi="Open Sans"/>
          <w:b w:val="0"/>
          <w:i w:val="0"/>
          <w:sz w:val="21"/>
        </w:rPr>
        <w:t xml:space="preserve"> years, and indefinitely for trade secrets and for personal information.</w:t>
      </w:r>
    </w:p>
    <w:p>
      <w:pPr>
        <w:keepNext/>
        <w:spacing w:before="200" w:after="60"/>
      </w:pPr>
      <w:r>
        <w:rPr>
          <w:rFonts w:ascii="Montserrat" w:hAnsi="Montserrat"/>
          <w:b/>
          <w:color w:val="191C4A"/>
          <w:sz w:val="21"/>
        </w:rPr>
        <w:t>11. NON-SOLICITATION</w:t>
      </w:r>
    </w:p>
    <w:p>
      <w:pPr>
        <w:spacing w:after="80" w:before="0"/>
        <w:jc w:val="both"/>
      </w:pPr>
      <w:r>
        <w:rPr>
          <w:rFonts w:ascii="Open Sans" w:hAnsi="Open Sans"/>
          <w:b w:val="0"/>
          <w:i w:val="0"/>
          <w:sz w:val="21"/>
        </w:rPr>
        <w:t xml:space="preserve">Optional. A contractor is entitled to trade, so keep this narrow or delete it and write </w:t>
      </w:r>
      <w:r>
        <w:rPr>
          <w:rFonts w:ascii="Open Sans" w:hAnsi="Open Sans"/>
          <w:b w:val="0"/>
          <w:i w:val="0"/>
          <w:color w:val="21759B"/>
          <w:sz w:val="21"/>
        </w:rPr>
        <w:t>[Not applicable]</w:t>
      </w:r>
      <w:r>
        <w:rPr>
          <w:rFonts w:ascii="Open Sans" w:hAnsi="Open Sans"/>
          <w:b w:val="0"/>
          <w:i w:val="0"/>
          <w:sz w:val="21"/>
        </w:rPr>
        <w:t xml:space="preserve"> in its place.</w:t>
      </w:r>
    </w:p>
    <w:p>
      <w:pPr>
        <w:spacing w:after="80"/>
        <w:ind w:left="624" w:hanging="624"/>
        <w:jc w:val="both"/>
      </w:pPr>
      <w:r>
        <w:rPr>
          <w:rFonts w:ascii="Open Sans" w:hAnsi="Open Sans"/>
          <w:b/>
          <w:color w:val="191C4A"/>
          <w:sz w:val="21"/>
        </w:rPr>
        <w:t>11.1</w:t>
        <w:tab/>
      </w:r>
      <w:r>
        <w:rPr>
          <w:rFonts w:ascii="Open Sans" w:hAnsi="Open Sans"/>
          <w:b w:val="0"/>
          <w:i w:val="0"/>
          <w:sz w:val="21"/>
        </w:rPr>
        <w:t xml:space="preserve">For </w:t>
      </w:r>
      <w:r>
        <w:rPr>
          <w:rFonts w:ascii="Open Sans" w:hAnsi="Open Sans"/>
          <w:b w:val="0"/>
          <w:i w:val="0"/>
          <w:color w:val="21759B"/>
          <w:sz w:val="21"/>
        </w:rPr>
        <w:t>[12]</w:t>
      </w:r>
      <w:r>
        <w:rPr>
          <w:rFonts w:ascii="Open Sans" w:hAnsi="Open Sans"/>
          <w:b w:val="0"/>
          <w:i w:val="0"/>
          <w:sz w:val="21"/>
        </w:rPr>
        <w:t xml:space="preserve"> months after this agreement ends, the contractor will not approach or solicit any customer of the client with whom the contractor had material dealings in the last </w:t>
      </w:r>
      <w:r>
        <w:rPr>
          <w:rFonts w:ascii="Open Sans" w:hAnsi="Open Sans"/>
          <w:b w:val="0"/>
          <w:i w:val="0"/>
          <w:color w:val="21759B"/>
          <w:sz w:val="21"/>
        </w:rPr>
        <w:t>[12]</w:t>
      </w:r>
      <w:r>
        <w:rPr>
          <w:rFonts w:ascii="Open Sans" w:hAnsi="Open Sans"/>
          <w:b w:val="0"/>
          <w:i w:val="0"/>
          <w:sz w:val="21"/>
        </w:rPr>
        <w:t xml:space="preserve"> months of the engagement, for work of the kind the client provides to that customer.</w:t>
      </w:r>
    </w:p>
    <w:p>
      <w:pPr>
        <w:spacing w:after="80"/>
        <w:ind w:left="624" w:hanging="624"/>
        <w:jc w:val="both"/>
      </w:pPr>
      <w:r>
        <w:rPr>
          <w:rFonts w:ascii="Open Sans" w:hAnsi="Open Sans"/>
          <w:b/>
          <w:color w:val="191C4A"/>
          <w:sz w:val="21"/>
        </w:rPr>
        <w:t>11.2</w:t>
        <w:tab/>
      </w:r>
      <w:r>
        <w:rPr>
          <w:rFonts w:ascii="Open Sans" w:hAnsi="Open Sans"/>
          <w:b w:val="0"/>
          <w:i w:val="0"/>
          <w:sz w:val="21"/>
        </w:rPr>
        <w:t xml:space="preserve">For </w:t>
      </w:r>
      <w:r>
        <w:rPr>
          <w:rFonts w:ascii="Open Sans" w:hAnsi="Open Sans"/>
          <w:b w:val="0"/>
          <w:i w:val="0"/>
          <w:color w:val="21759B"/>
          <w:sz w:val="21"/>
        </w:rPr>
        <w:t>[12]</w:t>
      </w:r>
      <w:r>
        <w:rPr>
          <w:rFonts w:ascii="Open Sans" w:hAnsi="Open Sans"/>
          <w:b w:val="0"/>
          <w:i w:val="0"/>
          <w:sz w:val="21"/>
        </w:rPr>
        <w:t xml:space="preserve"> months after this agreement ends, the contractor will not solicit or recruit any employee of the client with whom the contractor worked.</w:t>
      </w:r>
    </w:p>
    <w:p>
      <w:pPr>
        <w:spacing w:after="80"/>
        <w:ind w:left="624" w:hanging="624"/>
        <w:jc w:val="both"/>
      </w:pPr>
      <w:r>
        <w:rPr>
          <w:rFonts w:ascii="Open Sans" w:hAnsi="Open Sans"/>
          <w:b/>
          <w:color w:val="191C4A"/>
          <w:sz w:val="21"/>
        </w:rPr>
        <w:t>11.3</w:t>
        <w:tab/>
      </w:r>
      <w:r>
        <w:rPr>
          <w:rFonts w:ascii="Open Sans" w:hAnsi="Open Sans"/>
          <w:b w:val="0"/>
          <w:i w:val="0"/>
          <w:sz w:val="21"/>
        </w:rPr>
        <w:t>Nothing in this clause prevents the contractor from continuing to practise their trade or profession, from serving other clients in the same industry, or from responding to an approach that the contractor did not solicit.</w:t>
      </w:r>
    </w:p>
    <w:p>
      <w:pPr>
        <w:keepNext/>
        <w:spacing w:before="200" w:after="60"/>
      </w:pPr>
      <w:r>
        <w:rPr>
          <w:rFonts w:ascii="Montserrat" w:hAnsi="Montserrat"/>
          <w:b/>
          <w:color w:val="191C4A"/>
          <w:sz w:val="21"/>
        </w:rPr>
        <w:t>12. WARRANTIES, INSURANCE, INDEMNITY AND LIABILITY</w:t>
      </w:r>
    </w:p>
    <w:p>
      <w:pPr>
        <w:spacing w:after="80"/>
        <w:ind w:left="624" w:hanging="624"/>
        <w:jc w:val="both"/>
      </w:pPr>
      <w:r>
        <w:rPr>
          <w:rFonts w:ascii="Open Sans" w:hAnsi="Open Sans"/>
          <w:b/>
          <w:color w:val="191C4A"/>
          <w:sz w:val="21"/>
        </w:rPr>
        <w:t>12.1</w:t>
        <w:tab/>
      </w:r>
      <w:r>
        <w:rPr>
          <w:rFonts w:ascii="Open Sans" w:hAnsi="Open Sans"/>
          <w:b w:val="0"/>
          <w:i w:val="0"/>
          <w:sz w:val="21"/>
        </w:rPr>
        <w:t>The contractor warrants that it has the skills, qualifications, licences and registrations the work requires, that it is entitled to enter into this agreement, that it has no conflicting obligation, and that it is and will remain compliant with its tax obligations.</w:t>
      </w:r>
    </w:p>
    <w:p>
      <w:pPr>
        <w:spacing w:after="80"/>
        <w:ind w:left="624" w:hanging="624"/>
        <w:jc w:val="both"/>
      </w:pPr>
      <w:r>
        <w:rPr>
          <w:rFonts w:ascii="Open Sans" w:hAnsi="Open Sans"/>
          <w:b/>
          <w:color w:val="191C4A"/>
          <w:sz w:val="21"/>
        </w:rPr>
        <w:t>12.2</w:t>
        <w:tab/>
      </w:r>
      <w:r>
        <w:rPr>
          <w:rFonts w:ascii="Open Sans" w:hAnsi="Open Sans"/>
          <w:b w:val="0"/>
          <w:i w:val="0"/>
          <w:sz w:val="21"/>
        </w:rPr>
        <w:t xml:space="preserve">The contractor will maintain, at its own cost, public liability insurance of at least R </w:t>
      </w:r>
      <w:r>
        <w:rPr>
          <w:rFonts w:ascii="Open Sans" w:hAnsi="Open Sans"/>
          <w:b w:val="0"/>
          <w:i w:val="0"/>
          <w:color w:val="21759B"/>
          <w:sz w:val="21"/>
        </w:rPr>
        <w:t>[amount]</w:t>
      </w:r>
      <w:r>
        <w:rPr>
          <w:rFonts w:ascii="Open Sans" w:hAnsi="Open Sans"/>
          <w:b w:val="0"/>
          <w:i w:val="0"/>
          <w:sz w:val="21"/>
        </w:rPr>
        <w:t xml:space="preserve"> and professional indemnity insurance of at least R </w:t>
      </w:r>
      <w:r>
        <w:rPr>
          <w:rFonts w:ascii="Open Sans" w:hAnsi="Open Sans"/>
          <w:b w:val="0"/>
          <w:i w:val="0"/>
          <w:color w:val="21759B"/>
          <w:sz w:val="21"/>
        </w:rPr>
        <w:t>[amount]</w:t>
      </w:r>
      <w:r>
        <w:rPr>
          <w:rFonts w:ascii="Open Sans" w:hAnsi="Open Sans"/>
          <w:b w:val="0"/>
          <w:i w:val="0"/>
          <w:sz w:val="21"/>
        </w:rPr>
        <w:t xml:space="preserve"> for the duration of this agreement, and will produce proof of cover on request. Delete the cover that does not apply to this kind of work.</w:t>
      </w:r>
    </w:p>
    <w:p>
      <w:pPr>
        <w:spacing w:after="80"/>
        <w:ind w:left="624" w:hanging="624"/>
        <w:jc w:val="both"/>
      </w:pPr>
      <w:r>
        <w:rPr>
          <w:rFonts w:ascii="Open Sans" w:hAnsi="Open Sans"/>
          <w:b/>
          <w:color w:val="191C4A"/>
          <w:sz w:val="21"/>
        </w:rPr>
        <w:t>12.3</w:t>
        <w:tab/>
      </w:r>
      <w:r>
        <w:rPr>
          <w:rFonts w:ascii="Open Sans" w:hAnsi="Open Sans"/>
          <w:b w:val="0"/>
          <w:i w:val="0"/>
          <w:sz w:val="21"/>
        </w:rPr>
        <w:t>The contractor indemnifies the client against any loss, damage, claim, fine or penalty arising from the contractor's breach of this agreement, the contractor's negligence or wilful misconduct, any claim by the contractor's own employees or sub-contractors, any infringement of a third party's intellectual property, and any failure by the contractor to meet its tax obligations.</w:t>
      </w:r>
    </w:p>
    <w:p>
      <w:pPr>
        <w:spacing w:after="80"/>
        <w:ind w:left="624" w:hanging="624"/>
        <w:jc w:val="both"/>
      </w:pPr>
      <w:r>
        <w:rPr>
          <w:rFonts w:ascii="Open Sans" w:hAnsi="Open Sans"/>
          <w:b/>
          <w:color w:val="191C4A"/>
          <w:sz w:val="21"/>
        </w:rPr>
        <w:t>12.4</w:t>
        <w:tab/>
      </w:r>
      <w:r>
        <w:rPr>
          <w:rFonts w:ascii="Open Sans" w:hAnsi="Open Sans"/>
          <w:b w:val="0"/>
          <w:i w:val="0"/>
          <w:sz w:val="21"/>
        </w:rPr>
        <w:t>The client indemnifies the contractor against any claim arising from the client's own instructions, materials or content, where the contractor followed them reasonably.</w:t>
      </w:r>
    </w:p>
    <w:p>
      <w:pPr>
        <w:spacing w:after="80"/>
        <w:ind w:left="624" w:hanging="624"/>
        <w:jc w:val="both"/>
      </w:pPr>
      <w:r>
        <w:rPr>
          <w:rFonts w:ascii="Open Sans" w:hAnsi="Open Sans"/>
          <w:b/>
          <w:color w:val="191C4A"/>
          <w:sz w:val="21"/>
        </w:rPr>
        <w:t>12.5</w:t>
        <w:tab/>
      </w:r>
      <w:r>
        <w:rPr>
          <w:rFonts w:ascii="Open Sans" w:hAnsi="Open Sans"/>
          <w:b w:val="0"/>
          <w:i w:val="0"/>
          <w:sz w:val="21"/>
        </w:rPr>
        <w:t xml:space="preserve">Neither party is liable to the other for indirect or consequential loss, including loss of profit, loss of data or business interruption. The contractor's total liability under this agreement is limited to the fees paid in the </w:t>
      </w:r>
      <w:r>
        <w:rPr>
          <w:rFonts w:ascii="Open Sans" w:hAnsi="Open Sans"/>
          <w:b w:val="0"/>
          <w:i w:val="0"/>
          <w:color w:val="21759B"/>
          <w:sz w:val="21"/>
        </w:rPr>
        <w:t>[3]</w:t>
      </w:r>
      <w:r>
        <w:rPr>
          <w:rFonts w:ascii="Open Sans" w:hAnsi="Open Sans"/>
          <w:b w:val="0"/>
          <w:i w:val="0"/>
          <w:sz w:val="21"/>
        </w:rPr>
        <w:t xml:space="preserve"> months before the event giving rise to the claim, except for liability arising from fraud, wilful misconduct, breach of confidentiality, or death or injury caused by negligence, which is not limited.</w:t>
      </w:r>
    </w:p>
    <w:p>
      <w:pPr>
        <w:keepNext/>
        <w:spacing w:before="200" w:after="60"/>
      </w:pPr>
      <w:r>
        <w:rPr>
          <w:rFonts w:ascii="Montserrat" w:hAnsi="Montserrat"/>
          <w:b/>
          <w:color w:val="191C4A"/>
          <w:sz w:val="21"/>
        </w:rPr>
        <w:t>13. DURATION AND TERMINATION</w:t>
      </w:r>
    </w:p>
    <w:p>
      <w:pPr>
        <w:spacing w:after="80"/>
        <w:ind w:left="624" w:hanging="624"/>
        <w:jc w:val="both"/>
      </w:pPr>
      <w:r>
        <w:rPr>
          <w:rFonts w:ascii="Open Sans" w:hAnsi="Open Sans"/>
          <w:b/>
          <w:color w:val="191C4A"/>
          <w:sz w:val="21"/>
        </w:rPr>
        <w:t>13.1</w:t>
        <w:tab/>
      </w:r>
      <w:r>
        <w:rPr>
          <w:rFonts w:ascii="Open Sans" w:hAnsi="Open Sans"/>
          <w:b w:val="0"/>
          <w:i w:val="0"/>
          <w:sz w:val="21"/>
        </w:rPr>
        <w:t>This agreement starts on the start date and runs until the end date, or until the deliverables in Schedule A are completed and accepted, or until it is terminated under this clause.</w:t>
      </w:r>
    </w:p>
    <w:p>
      <w:pPr>
        <w:spacing w:after="80"/>
        <w:ind w:left="624" w:hanging="624"/>
        <w:jc w:val="both"/>
      </w:pPr>
      <w:r>
        <w:rPr>
          <w:rFonts w:ascii="Open Sans" w:hAnsi="Open Sans"/>
          <w:b/>
          <w:color w:val="191C4A"/>
          <w:sz w:val="21"/>
        </w:rPr>
        <w:t>13.2</w:t>
        <w:tab/>
      </w:r>
      <w:r>
        <w:rPr>
          <w:rFonts w:ascii="Open Sans" w:hAnsi="Open Sans"/>
          <w:b w:val="0"/>
          <w:i w:val="0"/>
          <w:sz w:val="21"/>
        </w:rPr>
        <w:t xml:space="preserve">Either party may terminate on </w:t>
      </w:r>
      <w:r>
        <w:rPr>
          <w:rFonts w:ascii="Open Sans" w:hAnsi="Open Sans"/>
          <w:b w:val="0"/>
          <w:i w:val="0"/>
          <w:color w:val="21759B"/>
          <w:sz w:val="21"/>
        </w:rPr>
        <w:t>[30]</w:t>
      </w:r>
      <w:r>
        <w:rPr>
          <w:rFonts w:ascii="Open Sans" w:hAnsi="Open Sans"/>
          <w:b w:val="0"/>
          <w:i w:val="0"/>
          <w:sz w:val="21"/>
        </w:rPr>
        <w:t xml:space="preserve"> calendar days' written notice. The contractor keeps working and the client keeps paying during the notice period. The client may instead pay the fee that would have been earned during the notice period, where the fee is a fixed monthly amount.</w:t>
      </w:r>
    </w:p>
    <w:p>
      <w:pPr>
        <w:spacing w:after="80"/>
        <w:ind w:left="624" w:hanging="624"/>
        <w:jc w:val="both"/>
      </w:pPr>
      <w:r>
        <w:rPr>
          <w:rFonts w:ascii="Open Sans" w:hAnsi="Open Sans"/>
          <w:b/>
          <w:color w:val="191C4A"/>
          <w:sz w:val="21"/>
        </w:rPr>
        <w:t>13.3</w:t>
        <w:tab/>
      </w:r>
      <w:r>
        <w:rPr>
          <w:rFonts w:ascii="Open Sans" w:hAnsi="Open Sans"/>
          <w:b w:val="0"/>
          <w:i w:val="0"/>
          <w:sz w:val="21"/>
        </w:rPr>
        <w:t xml:space="preserve">Either party may terminate immediately, on written notice, if the other commits a material breach and fails to remedy it within </w:t>
      </w:r>
      <w:r>
        <w:rPr>
          <w:rFonts w:ascii="Open Sans" w:hAnsi="Open Sans"/>
          <w:b w:val="0"/>
          <w:i w:val="0"/>
          <w:color w:val="21759B"/>
          <w:sz w:val="21"/>
        </w:rPr>
        <w:t>[14]</w:t>
      </w:r>
      <w:r>
        <w:rPr>
          <w:rFonts w:ascii="Open Sans" w:hAnsi="Open Sans"/>
          <w:b w:val="0"/>
          <w:i w:val="0"/>
          <w:sz w:val="21"/>
        </w:rPr>
        <w:t xml:space="preserve"> business days of written notice specifying the breach, or becomes insolvent, is liquidated or is placed in business rescue, or commits fraud or wilful misconduct in connection with this agreement, or loses a licence or registration the work requires.</w:t>
      </w:r>
    </w:p>
    <w:p>
      <w:pPr>
        <w:spacing w:after="80"/>
        <w:ind w:left="624" w:hanging="624"/>
        <w:jc w:val="both"/>
      </w:pPr>
      <w:r>
        <w:rPr>
          <w:rFonts w:ascii="Open Sans" w:hAnsi="Open Sans"/>
          <w:b/>
          <w:color w:val="191C4A"/>
          <w:sz w:val="21"/>
        </w:rPr>
        <w:t>13.4</w:t>
        <w:tab/>
      </w:r>
      <w:r>
        <w:rPr>
          <w:rFonts w:ascii="Open Sans" w:hAnsi="Open Sans"/>
          <w:b w:val="0"/>
          <w:i w:val="0"/>
          <w:sz w:val="21"/>
        </w:rPr>
        <w:t>On termination the contractor immediately returns all client property, materials, data and access credentials, and delivers all work in progress. The client pays all invoices for services properly rendered up to the termination date.</w:t>
      </w:r>
    </w:p>
    <w:p>
      <w:pPr>
        <w:spacing w:after="80"/>
        <w:ind w:left="624" w:hanging="624"/>
        <w:jc w:val="both"/>
      </w:pPr>
      <w:r>
        <w:rPr>
          <w:rFonts w:ascii="Open Sans" w:hAnsi="Open Sans"/>
          <w:b/>
          <w:color w:val="191C4A"/>
          <w:sz w:val="21"/>
        </w:rPr>
        <w:t>13.5</w:t>
        <w:tab/>
      </w:r>
      <w:r>
        <w:rPr>
          <w:rFonts w:ascii="Open Sans" w:hAnsi="Open Sans"/>
          <w:b w:val="0"/>
          <w:i w:val="0"/>
          <w:sz w:val="21"/>
        </w:rPr>
        <w:t>No severance, notice pay beyond clause 13.2, or compensation of any other kind is payable on termination. The unfair dismissal provisions of the LRA do not apply to a genuine independent contractor.</w:t>
      </w:r>
    </w:p>
    <w:p>
      <w:pPr>
        <w:spacing w:after="80"/>
        <w:ind w:left="624" w:hanging="624"/>
        <w:jc w:val="both"/>
      </w:pPr>
      <w:r>
        <w:rPr>
          <w:rFonts w:ascii="Open Sans" w:hAnsi="Open Sans"/>
          <w:b/>
          <w:color w:val="191C4A"/>
          <w:sz w:val="21"/>
        </w:rPr>
        <w:t>13.6</w:t>
        <w:tab/>
      </w:r>
      <w:r>
        <w:rPr>
          <w:rFonts w:ascii="Open Sans" w:hAnsi="Open Sans"/>
          <w:b w:val="0"/>
          <w:i w:val="0"/>
          <w:sz w:val="21"/>
        </w:rPr>
        <w:t>Clauses 6, 7, 9, 10, 12 and 15 survive termination.</w:t>
      </w:r>
    </w:p>
    <w:p>
      <w:pPr>
        <w:keepNext/>
        <w:spacing w:before="200" w:after="60"/>
      </w:pPr>
      <w:r>
        <w:rPr>
          <w:rFonts w:ascii="Montserrat" w:hAnsi="Montserrat"/>
          <w:b/>
          <w:color w:val="191C4A"/>
          <w:sz w:val="21"/>
        </w:rPr>
        <w:t>14. DISPUTE RESOLUTION</w:t>
      </w:r>
    </w:p>
    <w:p>
      <w:pPr>
        <w:spacing w:after="80"/>
        <w:ind w:left="624" w:hanging="624"/>
        <w:jc w:val="both"/>
      </w:pPr>
      <w:r>
        <w:rPr>
          <w:rFonts w:ascii="Open Sans" w:hAnsi="Open Sans"/>
          <w:b/>
          <w:color w:val="191C4A"/>
          <w:sz w:val="21"/>
        </w:rPr>
        <w:t>14.1</w:t>
        <w:tab/>
      </w:r>
      <w:r>
        <w:rPr>
          <w:rFonts w:ascii="Open Sans" w:hAnsi="Open Sans"/>
          <w:b w:val="0"/>
          <w:i w:val="0"/>
          <w:sz w:val="21"/>
        </w:rPr>
        <w:t xml:space="preserve">The parties will first try to resolve any dispute by discussion between senior representatives, within </w:t>
      </w:r>
      <w:r>
        <w:rPr>
          <w:rFonts w:ascii="Open Sans" w:hAnsi="Open Sans"/>
          <w:b w:val="0"/>
          <w:i w:val="0"/>
          <w:color w:val="21759B"/>
          <w:sz w:val="21"/>
        </w:rPr>
        <w:t>[10]</w:t>
      </w:r>
      <w:r>
        <w:rPr>
          <w:rFonts w:ascii="Open Sans" w:hAnsi="Open Sans"/>
          <w:b w:val="0"/>
          <w:i w:val="0"/>
          <w:sz w:val="21"/>
        </w:rPr>
        <w:t xml:space="preserve"> business days of one party notifying the other in writing.</w:t>
      </w:r>
    </w:p>
    <w:p>
      <w:pPr>
        <w:spacing w:after="80"/>
        <w:ind w:left="624" w:hanging="624"/>
        <w:jc w:val="both"/>
      </w:pPr>
      <w:r>
        <w:rPr>
          <w:rFonts w:ascii="Open Sans" w:hAnsi="Open Sans"/>
          <w:b/>
          <w:color w:val="191C4A"/>
          <w:sz w:val="21"/>
        </w:rPr>
        <w:t>14.2</w:t>
        <w:tab/>
      </w:r>
      <w:r>
        <w:rPr>
          <w:rFonts w:ascii="Open Sans" w:hAnsi="Open Sans"/>
          <w:b w:val="0"/>
          <w:i w:val="0"/>
          <w:sz w:val="21"/>
        </w:rPr>
        <w:t xml:space="preserve">If that fails, the dispute goes to mediation, and if mediation fails within a further </w:t>
      </w:r>
      <w:r>
        <w:rPr>
          <w:rFonts w:ascii="Open Sans" w:hAnsi="Open Sans"/>
          <w:b w:val="0"/>
          <w:i w:val="0"/>
          <w:color w:val="21759B"/>
          <w:sz w:val="21"/>
        </w:rPr>
        <w:t>[15]</w:t>
      </w:r>
      <w:r>
        <w:rPr>
          <w:rFonts w:ascii="Open Sans" w:hAnsi="Open Sans"/>
          <w:b w:val="0"/>
          <w:i w:val="0"/>
          <w:sz w:val="21"/>
        </w:rPr>
        <w:t xml:space="preserve"> business days, to final and binding arbitration under the rules of the Arbitration Foundation of Southern Africa before one arbitrator sitting in </w:t>
      </w:r>
      <w:r>
        <w:rPr>
          <w:rFonts w:ascii="Open Sans" w:hAnsi="Open Sans"/>
          <w:b w:val="0"/>
          <w:i w:val="0"/>
          <w:color w:val="21759B"/>
          <w:sz w:val="21"/>
        </w:rPr>
        <w:t>[city]</w:t>
      </w:r>
      <w:r>
        <w:rPr>
          <w:rFonts w:ascii="Open Sans" w:hAnsi="Open Sans"/>
          <w:b w:val="0"/>
          <w:i w:val="0"/>
          <w:sz w:val="21"/>
        </w:rPr>
        <w:t>. [For a low value dispute, delete the arbitration step and use the Magistrates' Court instead. Arbitration is private and quick but the arbitrator's fee is on the parties.]</w:t>
      </w:r>
    </w:p>
    <w:p>
      <w:pPr>
        <w:spacing w:after="80"/>
        <w:ind w:left="624" w:hanging="624"/>
        <w:jc w:val="both"/>
      </w:pPr>
      <w:r>
        <w:rPr>
          <w:rFonts w:ascii="Open Sans" w:hAnsi="Open Sans"/>
          <w:b/>
          <w:color w:val="191C4A"/>
          <w:sz w:val="21"/>
        </w:rPr>
        <w:t>14.3</w:t>
        <w:tab/>
      </w:r>
      <w:r>
        <w:rPr>
          <w:rFonts w:ascii="Open Sans" w:hAnsi="Open Sans"/>
          <w:b w:val="0"/>
          <w:i w:val="0"/>
          <w:sz w:val="21"/>
        </w:rPr>
        <w:t>Either party may approach a court for urgent interim relief at any time without first following this clause.</w:t>
      </w:r>
    </w:p>
    <w:p>
      <w:pPr>
        <w:spacing w:after="80"/>
        <w:ind w:left="624" w:hanging="624"/>
        <w:jc w:val="both"/>
      </w:pPr>
      <w:r>
        <w:rPr>
          <w:rFonts w:ascii="Open Sans" w:hAnsi="Open Sans"/>
          <w:b/>
          <w:color w:val="191C4A"/>
          <w:sz w:val="21"/>
        </w:rPr>
        <w:t>14.4</w:t>
        <w:tab/>
      </w:r>
      <w:r>
        <w:rPr>
          <w:rFonts w:ascii="Open Sans" w:hAnsi="Open Sans"/>
          <w:b w:val="0"/>
          <w:i w:val="0"/>
          <w:sz w:val="21"/>
        </w:rPr>
        <w:t>A dispute about whether this agreement is in truth an employment relationship may be referred to the CCMA, which may make an advisory award under section 200A(3) of the LRA.</w:t>
      </w:r>
    </w:p>
    <w:p>
      <w:pPr>
        <w:keepNext/>
        <w:spacing w:before="200" w:after="60"/>
      </w:pPr>
      <w:r>
        <w:rPr>
          <w:rFonts w:ascii="Montserrat" w:hAnsi="Montserrat"/>
          <w:b/>
          <w:color w:val="191C4A"/>
          <w:sz w:val="21"/>
        </w:rPr>
        <w:t>15. GENERAL</w:t>
      </w:r>
    </w:p>
    <w:p>
      <w:pPr>
        <w:spacing w:after="80"/>
        <w:ind w:left="624" w:hanging="624"/>
        <w:jc w:val="both"/>
      </w:pPr>
      <w:r>
        <w:rPr>
          <w:rFonts w:ascii="Open Sans" w:hAnsi="Open Sans"/>
          <w:b/>
          <w:color w:val="191C4A"/>
          <w:sz w:val="21"/>
        </w:rPr>
        <w:t>15.1</w:t>
        <w:tab/>
      </w:r>
      <w:r>
        <w:rPr>
          <w:rFonts w:ascii="Open Sans" w:hAnsi="Open Sans"/>
          <w:b w:val="0"/>
          <w:i w:val="0"/>
          <w:sz w:val="21"/>
        </w:rPr>
        <w:t>This agreement and its schedules are the whole agreement between the parties and replace anything agreed before on the same subject.</w:t>
      </w:r>
    </w:p>
    <w:p>
      <w:pPr>
        <w:spacing w:after="80"/>
        <w:ind w:left="624" w:hanging="624"/>
        <w:jc w:val="both"/>
      </w:pPr>
      <w:r>
        <w:rPr>
          <w:rFonts w:ascii="Open Sans" w:hAnsi="Open Sans"/>
          <w:b/>
          <w:color w:val="191C4A"/>
          <w:sz w:val="21"/>
        </w:rPr>
        <w:t>15.2</w:t>
        <w:tab/>
      </w:r>
      <w:r>
        <w:rPr>
          <w:rFonts w:ascii="Open Sans" w:hAnsi="Open Sans"/>
          <w:b w:val="0"/>
          <w:i w:val="0"/>
          <w:sz w:val="21"/>
        </w:rPr>
        <w:t>No amendment is valid unless in writing and signed by both parties.</w:t>
      </w:r>
    </w:p>
    <w:p>
      <w:pPr>
        <w:spacing w:after="80"/>
        <w:ind w:left="624" w:hanging="624"/>
        <w:jc w:val="both"/>
      </w:pPr>
      <w:r>
        <w:rPr>
          <w:rFonts w:ascii="Open Sans" w:hAnsi="Open Sans"/>
          <w:b/>
          <w:color w:val="191C4A"/>
          <w:sz w:val="21"/>
        </w:rPr>
        <w:t>15.3</w:t>
        <w:tab/>
      </w:r>
      <w:r>
        <w:rPr>
          <w:rFonts w:ascii="Open Sans" w:hAnsi="Open Sans"/>
          <w:b w:val="0"/>
          <w:i w:val="0"/>
          <w:sz w:val="21"/>
        </w:rPr>
        <w:t>The contractor may not assign its obligations without the client's written consent, but may cede the right to receive payment to a financing institution on written notice to the client.</w:t>
      </w:r>
    </w:p>
    <w:p>
      <w:pPr>
        <w:spacing w:after="80"/>
        <w:ind w:left="624" w:hanging="624"/>
        <w:jc w:val="both"/>
      </w:pPr>
      <w:r>
        <w:rPr>
          <w:rFonts w:ascii="Open Sans" w:hAnsi="Open Sans"/>
          <w:b/>
          <w:color w:val="191C4A"/>
          <w:sz w:val="21"/>
        </w:rPr>
        <w:t>15.4</w:t>
        <w:tab/>
      </w:r>
      <w:r>
        <w:rPr>
          <w:rFonts w:ascii="Open Sans" w:hAnsi="Open Sans"/>
          <w:b w:val="0"/>
          <w:i w:val="0"/>
          <w:sz w:val="21"/>
        </w:rPr>
        <w:t>If any provision is unenforceable it is severed and the rest of the agreement stands.</w:t>
      </w:r>
    </w:p>
    <w:p>
      <w:pPr>
        <w:spacing w:after="80"/>
        <w:ind w:left="624" w:hanging="624"/>
        <w:jc w:val="both"/>
      </w:pPr>
      <w:r>
        <w:rPr>
          <w:rFonts w:ascii="Open Sans" w:hAnsi="Open Sans"/>
          <w:b/>
          <w:color w:val="191C4A"/>
          <w:sz w:val="21"/>
        </w:rPr>
        <w:t>15.5</w:t>
        <w:tab/>
      </w:r>
      <w:r>
        <w:rPr>
          <w:rFonts w:ascii="Open Sans" w:hAnsi="Open Sans"/>
          <w:b w:val="0"/>
          <w:i w:val="0"/>
          <w:sz w:val="21"/>
        </w:rPr>
        <w:t xml:space="preserve">Neither party is in breach for a failure caused by an event beyond its reasonable control, provided it notifies the other within </w:t>
      </w:r>
      <w:r>
        <w:rPr>
          <w:rFonts w:ascii="Open Sans" w:hAnsi="Open Sans"/>
          <w:b w:val="0"/>
          <w:i w:val="0"/>
          <w:color w:val="21759B"/>
          <w:sz w:val="21"/>
        </w:rPr>
        <w:t>[5]</w:t>
      </w:r>
      <w:r>
        <w:rPr>
          <w:rFonts w:ascii="Open Sans" w:hAnsi="Open Sans"/>
          <w:b w:val="0"/>
          <w:i w:val="0"/>
          <w:sz w:val="21"/>
        </w:rPr>
        <w:t xml:space="preserve"> business days and does what it reasonably can to limit the effect and resume performance.</w:t>
      </w:r>
    </w:p>
    <w:p>
      <w:pPr>
        <w:spacing w:after="80"/>
        <w:ind w:left="624" w:hanging="624"/>
        <w:jc w:val="both"/>
      </w:pPr>
      <w:r>
        <w:rPr>
          <w:rFonts w:ascii="Open Sans" w:hAnsi="Open Sans"/>
          <w:b/>
          <w:color w:val="191C4A"/>
          <w:sz w:val="21"/>
        </w:rPr>
        <w:t>15.6</w:t>
        <w:tab/>
      </w:r>
      <w:r>
        <w:rPr>
          <w:rFonts w:ascii="Open Sans" w:hAnsi="Open Sans"/>
          <w:b w:val="0"/>
          <w:i w:val="0"/>
          <w:sz w:val="21"/>
        </w:rPr>
        <w:t>Notices are in writing to the addresses on page 4, by hand, email or registered post. An email is treated as received on the next business day unless a delivery failure is received.</w:t>
      </w:r>
    </w:p>
    <w:p>
      <w:pPr>
        <w:spacing w:after="80"/>
        <w:ind w:left="624" w:hanging="624"/>
        <w:jc w:val="both"/>
      </w:pPr>
      <w:r>
        <w:rPr>
          <w:rFonts w:ascii="Open Sans" w:hAnsi="Open Sans"/>
          <w:b/>
          <w:color w:val="191C4A"/>
          <w:sz w:val="21"/>
        </w:rPr>
        <w:t>15.7</w:t>
        <w:tab/>
      </w:r>
      <w:r>
        <w:rPr>
          <w:rFonts w:ascii="Open Sans" w:hAnsi="Open Sans"/>
          <w:b w:val="0"/>
          <w:i w:val="0"/>
          <w:sz w:val="21"/>
        </w:rPr>
        <w:t xml:space="preserve">This agreement is governed by the law of the Republic of South Africa. The parties consent to the jurisdiction of the High Court of South Africa, </w:t>
      </w:r>
      <w:r>
        <w:rPr>
          <w:rFonts w:ascii="Open Sans" w:hAnsi="Open Sans"/>
          <w:b w:val="0"/>
          <w:i w:val="0"/>
          <w:color w:val="21759B"/>
          <w:sz w:val="21"/>
        </w:rPr>
        <w:t>[division]</w:t>
      </w:r>
      <w:r>
        <w:rPr>
          <w:rFonts w:ascii="Open Sans" w:hAnsi="Open Sans"/>
          <w:b w:val="0"/>
          <w:i w:val="0"/>
          <w:sz w:val="21"/>
        </w:rPr>
        <w:t>, and where the amount falls within its jurisdiction, of the Magistrates' Court.</w:t>
      </w:r>
    </w:p>
    <w:p>
      <w:pPr>
        <w:spacing w:after="80"/>
        <w:ind w:left="624" w:hanging="624"/>
        <w:jc w:val="both"/>
      </w:pPr>
      <w:r>
        <w:rPr>
          <w:rFonts w:ascii="Open Sans" w:hAnsi="Open Sans"/>
          <w:b/>
          <w:color w:val="191C4A"/>
          <w:sz w:val="21"/>
        </w:rPr>
        <w:t>15.8</w:t>
        <w:tab/>
      </w:r>
      <w:r>
        <w:rPr>
          <w:rFonts w:ascii="Open Sans" w:hAnsi="Open Sans"/>
          <w:b w:val="0"/>
          <w:i w:val="0"/>
          <w:sz w:val="21"/>
        </w:rPr>
        <w:t>This agreement may be signed in counterparts. An electronic signature is valid under the Electronic Communications and Transactions Act 25 of 2002.</w:t>
      </w:r>
    </w:p>
    <w:p>
      <w:pPr>
        <w:spacing w:after="120" w:before="200"/>
        <w:jc w:val="both"/>
      </w:pPr>
      <w:r>
        <w:rPr>
          <w:rFonts w:ascii="Open Sans" w:hAnsi="Open Sans"/>
          <w:b w:val="0"/>
          <w:i w:val="0"/>
          <w:sz w:val="21"/>
        </w:rPr>
        <w:t>Both parties confirm that they have read and understood this agreement, including Part 1 and the consequences of misclassification, and agree to be bound by it.</w:t>
      </w:r>
    </w:p>
    <w:p>
      <w:pPr>
        <w:pStyle w:val="Heading2"/>
      </w:pPr>
      <w:r>
        <w:t>Signatures</w:t>
      </w:r>
    </w:p>
    <w:p>
      <w:pPr>
        <w:spacing w:after="20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this </w:t>
      </w:r>
      <w:r>
        <w:rPr>
          <w:rFonts w:ascii="Open Sans" w:hAnsi="Open Sans"/>
          <w:b w:val="0"/>
          <w:i w:val="0"/>
          <w:color w:val="21759B"/>
          <w:sz w:val="21"/>
        </w:rPr>
        <w:t>[DAY]</w:t>
      </w:r>
      <w:r>
        <w:rPr>
          <w:rFonts w:ascii="Open Sans" w:hAnsi="Open Sans"/>
          <w:b w:val="0"/>
          <w:i w:val="0"/>
          <w:sz w:val="21"/>
        </w:rPr>
        <w:t xml:space="preserve"> day of </w:t>
      </w:r>
      <w:r>
        <w:rPr>
          <w:rFonts w:ascii="Open Sans" w:hAnsi="Open Sans"/>
          <w:b w:val="0"/>
          <w:i w:val="0"/>
          <w:color w:val="21759B"/>
          <w:sz w:val="21"/>
        </w:rPr>
        <w:t>[MONTH]</w:t>
      </w:r>
      <w:r>
        <w:rPr>
          <w:rFonts w:ascii="Open Sans" w:hAnsi="Open Sans"/>
          <w:b w:val="0"/>
          <w:i w:val="0"/>
          <w:sz w:val="21"/>
        </w:rPr>
        <w:t xml:space="preserve"> </w:t>
      </w:r>
      <w:r>
        <w:rPr>
          <w:rFonts w:ascii="Open Sans" w:hAnsi="Open Sans"/>
          <w:b w:val="0"/>
          <w:i w:val="0"/>
          <w:color w:val="21759B"/>
          <w:sz w:val="21"/>
        </w:rPr>
        <w:t>[YEAR]</w:t>
      </w:r>
      <w:r>
        <w:rPr>
          <w:rFonts w:ascii="Open Sans" w:hAnsi="Open Sans"/>
          <w:b w:val="0"/>
          <w:i w:val="0"/>
          <w:sz w:val="21"/>
        </w:rPr>
        <w:t>.</w:t>
      </w:r>
    </w:p>
    <w:p>
      <w:pPr>
        <w:spacing w:before="200" w:after="0"/>
      </w:pPr>
      <w:r>
        <w:rPr>
          <w:rFonts w:ascii="Montserrat" w:hAnsi="Montserrat"/>
          <w:b/>
          <w:color w:val="191C4A"/>
          <w:sz w:val="18"/>
        </w:rPr>
        <w:t>SIGNED FOR THE CLIENT</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SIGNED BY OR FOR THE CONTRACTOR</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after="40" w:before="0"/>
      </w:pPr>
    </w:p>
    <w:p>
      <w:pPr>
        <w:spacing w:before="160" w:after="0"/>
      </w:pPr>
      <w:r>
        <w:rPr>
          <w:rFonts w:ascii="Montserrat" w:hAnsi="Montserrat"/>
          <w:b/>
          <w:color w:val="191C4A"/>
          <w:sz w:val="18"/>
        </w:rPr>
        <w:t>WITNESS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after="40" w:before="0"/>
      </w:pPr>
    </w:p>
    <w:p>
      <w:pPr>
        <w:spacing w:before="160" w:after="0"/>
      </w:pPr>
      <w:r>
        <w:rPr>
          <w:rFonts w:ascii="Montserrat" w:hAnsi="Montserrat"/>
          <w:b/>
          <w:color w:val="191C4A"/>
          <w:sz w:val="18"/>
        </w:rPr>
        <w:t>WITNESS 2</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r>
        <w:br w:type="page"/>
      </w:r>
    </w:p>
    <w:p>
      <w:pPr>
        <w:pStyle w:val="Heading1"/>
      </w:pPr>
      <w:r>
        <w:t>Schedule A: Services, deliverables and fees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Complete this schedule in detail. Vague scope is the single most common cause of contractor disputes, and a scope written in terms of outcomes rather than activities is also the best evidence that the relationship is a contract for services.</w:t>
      </w:r>
    </w:p>
    <w:p>
      <w:pPr>
        <w:pStyle w:val="Heading3"/>
      </w:pPr>
      <w:r>
        <w:t>A.1 What the contractor will deliver</w:t>
      </w:r>
    </w:p>
    <w:p>
      <w:pPr>
        <w:spacing w:after="120" w:before="0"/>
        <w:jc w:val="both"/>
      </w:pPr>
      <w:r>
        <w:rPr>
          <w:rFonts w:ascii="Open Sans" w:hAnsi="Open Sans"/>
          <w:b w:val="0"/>
          <w:i w:val="0"/>
          <w:sz w:val="21"/>
        </w:rPr>
        <w:t xml:space="preserve">Describe the outcome, not the method. For example: "Design and build a five page website for the client on WordPress, meeting the specification in Appendix 1, ready for review by </w:t>
      </w:r>
      <w:r>
        <w:rPr>
          <w:rFonts w:ascii="Open Sans" w:hAnsi="Open Sans"/>
          <w:b w:val="0"/>
          <w:i w:val="0"/>
          <w:color w:val="21759B"/>
          <w:sz w:val="21"/>
        </w:rPr>
        <w:t>[DD Month YYYY]</w:t>
      </w:r>
      <w:r>
        <w:rPr>
          <w:rFonts w:ascii="Open Sans" w:hAnsi="Open Sans"/>
          <w:b w:val="0"/>
          <w:i w:val="0"/>
          <w:sz w:val="21"/>
        </w:rPr>
        <w:t>", not "work on the website for 20 hours a week".</w:t>
      </w:r>
    </w:p>
    <w:p>
      <w:pPr>
        <w:spacing w:after="120" w:before="0"/>
      </w:pPr>
      <w:r>
        <w:rPr>
          <w:rFonts w:ascii="Open Sans" w:hAnsi="Open Sans"/>
          <w:b w:val="0"/>
          <w:i w:val="0"/>
          <w:color w:val="21759B"/>
          <w:sz w:val="21"/>
        </w:rPr>
        <w:t>[Describe the services and the outcome required, in as much detail as you can.]</w:t>
      </w:r>
    </w:p>
    <w:p>
      <w:pPr>
        <w:pStyle w:val="Heading3"/>
      </w:pPr>
      <w:r>
        <w:t>A.2 Deliverables and milestones</w:t>
      </w:r>
    </w:p>
    <w:tbl>
      <w:tblPr>
        <w:tblW w:type="dxa" w:w="9025"/>
        <w:jc w:val="center"/>
        <w:tblLayout w:type="fixed"/>
        <w:tblLook w:firstColumn="1" w:firstRow="1" w:lastColumn="0" w:lastRow="0" w:noHBand="0" w:noVBand="1" w:val="04A0"/>
      </w:tblPr>
      <w:tblGrid>
        <w:gridCol w:w="2346"/>
        <w:gridCol w:w="3429"/>
        <w:gridCol w:w="1624"/>
        <w:gridCol w:w="1624"/>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DELIVERABLE</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ACCEPTANCE LOOKS LIKE</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DUE DATE</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FEE RELEASED</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[Milestone 1]</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[How the client will confirm it is done]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[Milestone 2]</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[How the client will confirm it is done]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[Final delivery]</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Signed off by </w:t>
            </w: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r>
    </w:tbl>
    <w:p>
      <w:pPr>
        <w:pStyle w:val="Heading3"/>
      </w:pPr>
      <w:r>
        <w:t>A.3 Fees</w:t>
      </w:r>
    </w:p>
    <w:tbl>
      <w:tblPr>
        <w:tblW w:type="dxa" w:w="9025"/>
        <w:jc w:val="center"/>
        <w:tblLayout w:type="fixed"/>
        <w:tblLook w:firstColumn="1" w:firstRow="1" w:lastColumn="0" w:lastRow="0" w:noHBand="0" w:noVBand="1" w:val="04A0"/>
      </w:tblPr>
      <w:tblGrid>
        <w:gridCol w:w="3971"/>
        <w:gridCol w:w="2527"/>
        <w:gridCol w:w="2527"/>
      </w:tblGrid>
      <w:tr>
        <w:trPr>
          <w:tblHeader w:val="true"/>
        </w:trPr>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RATE OR AMOUNT, EXCLUDING VAT</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BASIS</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[Service or phase 1]</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[Per hour / day / deliverable]</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[Service or phase 2]</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[Per hour / day / deliverable]</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Pre-approved expenses</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At cost, against receipts</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 excluding VAT</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VAT at 15%, only if the contractor is registered</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 payable</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pStyle w:val="Heading3"/>
      </w:pPr>
      <w:r>
        <w:t>A.4 Where the work will be done, and reporting</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Place of performance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The contractor's own premises, remotely, or on site at </w:t>
            </w:r>
            <w:r>
              <w:rPr>
                <w:rFonts w:ascii="Open Sans" w:hAnsi="Open Sans"/>
                <w:b w:val="0"/>
                <w:i w:val="0"/>
                <w:color w:val="21759B"/>
                <w:sz w:val="21"/>
              </w:rPr>
              <w:t>[address]</w:t>
            </w:r>
            <w:r>
              <w:rPr>
                <w:rFonts w:ascii="Open Sans" w:hAnsi="Open Sans"/>
                <w:b w:val="0"/>
                <w:i w:val="0"/>
                <w:sz w:val="21"/>
              </w:rPr>
              <w:t xml:space="preserve"> where the work requires it</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Client contact</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title, email, cell]</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Progress reporting</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[Weekly email summary / at each milestone]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Client dependencies</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[What the client must supply: site access, content, approvals, and by when]</w:t>
            </w:r>
          </w:p>
        </w:tc>
      </w:tr>
    </w:tbl>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