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SERVICE LEVEL AGREEMENT</w:t>
      </w:r>
    </w:p>
    <w:p>
      <w:pPr>
        <w:spacing w:before="0" w:after="160"/>
        <w:keepNext/>
      </w:pPr>
      <w:r>
        <w:rPr>
          <w:rFonts w:ascii="Open Sans" w:hAnsi="Open Sans"/>
          <w:color w:val="6B6870"/>
          <w:sz w:val="20"/>
        </w:rPr>
        <w:t>Template D4 | Ongoing services with measurable service levels | Governed by South African law</w:t>
      </w:r>
    </w:p>
    <w:p>
      <w:pPr>
        <w:spacing w:before="0" w:after="200"/>
        <w:pBdr>
          <w:bottom w:val="single" w:sz="12" w:space="1" w:color="D7B428"/>
        </w:pBdr>
      </w:pPr>
    </w:p>
    <w:p>
      <w:pPr>
        <w:pStyle w:val="Heading1"/>
      </w:pPr>
      <w:r>
        <w:t>Before you use this agreement</w:t>
      </w:r>
    </w:p>
    <w:p>
      <w:pPr>
        <w:spacing w:after="120" w:before="0"/>
        <w:jc w:val="both"/>
      </w:pPr>
      <w:r>
        <w:rPr>
          <w:rFonts w:ascii="Open Sans" w:hAnsi="Open Sans"/>
          <w:b w:val="0"/>
          <w:i w:val="0"/>
          <w:sz w:val="21"/>
        </w:rPr>
        <w:t>A service level agreement is an ordinary services contract with one extra thing in it: measurable promises about how well the service will run, and an agreed consequence when it does not. Use it for support and maintenance, hosting, IT, security, cleaning, facilities, bookkeeping, or anything else you deliver month after month.</w:t>
      </w:r>
    </w:p>
    <w:p>
      <w:pPr>
        <w:pStyle w:val="Heading2"/>
      </w:pPr>
      <w:r>
        <w:t>Three things that decide whether this works</w:t>
      </w:r>
    </w:p>
    <w:p>
      <w:pPr>
        <w:pStyle w:val="ListBullet"/>
        <w:spacing w:after="60"/>
        <w:ind w:left="340"/>
      </w:pPr>
      <w:r>
        <w:rPr>
          <w:rFonts w:ascii="Open Sans" w:hAnsi="Open Sans"/>
          <w:b w:val="0"/>
          <w:i w:val="0"/>
          <w:sz w:val="21"/>
        </w:rPr>
        <w:t>Set targets you can actually hit. An SLA promising 99.9% uptime and a one hour fix on a single technician business creates more disputes than having no SLA at all. Promise what you can deliver on a bad week, not on a good one.</w:t>
      </w:r>
    </w:p>
    <w:p>
      <w:pPr>
        <w:pStyle w:val="ListBullet"/>
        <w:spacing w:after="60"/>
        <w:ind w:left="340"/>
      </w:pPr>
      <w:r>
        <w:rPr>
          <w:rFonts w:ascii="Open Sans" w:hAnsi="Open Sans"/>
          <w:b w:val="0"/>
          <w:i w:val="0"/>
          <w:sz w:val="21"/>
        </w:rPr>
        <w:t>Measure from one source. Decide now whose ticket system, monitoring tool or log is the record, and write it into clause 6. Arguments about whether the clock started at 09:05 or 09:40 are what kill these relationships.</w:t>
      </w:r>
    </w:p>
    <w:p>
      <w:pPr>
        <w:pStyle w:val="ListBullet"/>
        <w:spacing w:after="60"/>
        <w:ind w:left="340"/>
      </w:pPr>
      <w:r>
        <w:rPr>
          <w:rFonts w:ascii="Open Sans" w:hAnsi="Open Sans"/>
          <w:b w:val="0"/>
          <w:i w:val="0"/>
          <w:sz w:val="21"/>
        </w:rPr>
        <w:t>Remember that service credits are not damages. They are an agreed reduction in the fee for a month when the service underperformed. They are not compensation for the customer's lost business, and they do not stop the customer cancelling for a material breach.</w:t>
      </w:r>
    </w:p>
    <w:p>
      <w:pPr>
        <w:pStyle w:val="Heading2"/>
      </w:pPr>
      <w:r>
        <w:t>Does the Consumer Protection Act apply to this contract?</w:t>
      </w:r>
    </w:p>
    <w:p>
      <w:pPr>
        <w:spacing w:after="120" w:before="0"/>
        <w:jc w:val="both"/>
      </w:pPr>
      <w:r>
        <w:rPr>
          <w:rFonts w:ascii="Open Sans" w:hAnsi="Open Sans"/>
          <w:b w:val="0"/>
          <w:i w:val="0"/>
          <w:sz w:val="21"/>
        </w:rPr>
        <w:t>It depends entirely on who the customer is, and it matters because the CPA overrides anything in a contract that conflicts with it. Work through the table before you fill in clause 14.</w:t>
      </w:r>
    </w:p>
    <w:tbl>
      <w:tblPr>
        <w:tblW w:type="dxa" w:w="9025"/>
        <w:jc w:val="center"/>
        <w:tblLayout w:type="fixed"/>
        <w:tblLook w:firstColumn="1" w:firstRow="1" w:lastColumn="0" w:lastRow="0" w:noHBand="0" w:noVBand="1" w:val="04A0"/>
      </w:tblPr>
      <w:tblGrid>
        <w:gridCol w:w="2437"/>
        <w:gridCol w:w="2256"/>
        <w:gridCol w:w="4332"/>
      </w:tblGrid>
      <w:tr>
        <w:trPr>
          <w:tblHeader w:val="true"/>
        </w:trPr>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THE CUSTOMER IS</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DOES THE CPA APPLY?</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IS THERE A SECTION 14 CANCELLATION RIGHT?</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natural person, whatever they earn, including a sole proprietor trading in their own name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always. A natural person is always a consumer</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Section 14 applies to a fixed term agreement: a maximum term of 24 months unless a longer term is expressly agreed and demonstrably benefits the consumer, cancellation at any time on 20 business days' written notice subject to a reasonable cancellation penalty, and 40 to 80 business days' notice before expiry</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company, close corporation, partnership, association or trust with asset value AND annual turnover both below R 2 000 000 at the time of the transaction</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Yes. It is a consumer for CPA purposes</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Section 14(1) says the section does not apply to transactions between juristic persons, regardless of annual turnover or asset value. A small company still gets the rest of the CPA, but not this</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company, close corporation, partnership, association or trust with asset value OR annual turnover of R 2 000 000 or more</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It is not a consumer at all and the CPA does not apply to the transaction</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R 2 000 000 threshold was set by the Minister under section 6 of the CPA in Government Notice 294 of 1 April 2011 and has not been changed since. Note the two separate rules. The threshold decides whether a juristic person is a consumer at all. Section 14(1) then removes the fixed term cancellation right from every transaction between juristic persons, even one well below the threshold. So if your customer is a company, it has no section 14 right to cancel on 20 business days' notice, and a template that tells it otherwise is giving away a right the law never created. Clause 14 of this agreement sets out the notice and cancellation terms by contract instead, which is where they belong.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Where the customer IS a consumer under the CPA, a small juristic person included, these still apply and cannot be contracted out of: sections 48 to 52 on unfair, unreasonable or unjust terms, section 54 on the right to service of a quality that persons are generally entitled to expect, sections 55 and 56 on quality and the six month return right for goods, and section 61 on product liability. Draft to those standards regardless of who the customer is. It is simply good practice.</w:t>
      </w:r>
    </w:p>
    <w:p>
      <w:pPr>
        <w:pStyle w:val="Heading2"/>
      </w:pPr>
      <w:r>
        <w:t>A ten minute setup, in order</w:t>
      </w:r>
    </w:p>
    <w:p>
      <w:pPr>
        <w:pStyle w:val="ListNumber"/>
        <w:spacing w:after="60"/>
        <w:ind w:left="340"/>
      </w:pPr>
      <w:r>
        <w:rPr>
          <w:rFonts w:ascii="Open Sans" w:hAnsi="Open Sans"/>
          <w:b w:val="0"/>
          <w:i w:val="0"/>
          <w:sz w:val="21"/>
        </w:rPr>
        <w:t>Fill in Schedule A first. The scope is the contract. Everything else describes how well you will do what Schedule A says.</w:t>
      </w:r>
    </w:p>
    <w:p>
      <w:pPr>
        <w:pStyle w:val="ListNumber"/>
        <w:spacing w:after="60"/>
        <w:ind w:left="340"/>
      </w:pPr>
      <w:r>
        <w:rPr>
          <w:rFonts w:ascii="Open Sans" w:hAnsi="Open Sans"/>
          <w:b w:val="0"/>
          <w:i w:val="0"/>
          <w:sz w:val="21"/>
        </w:rPr>
        <w:t>Decide the service window in the commercial terms. Business hours only is cheaper and easier to keep than 24 hours a day, and most small businesses do not need round the clock cover.</w:t>
      </w:r>
    </w:p>
    <w:p>
      <w:pPr>
        <w:pStyle w:val="ListNumber"/>
        <w:spacing w:after="60"/>
        <w:ind w:left="340"/>
      </w:pPr>
      <w:r>
        <w:rPr>
          <w:rFonts w:ascii="Open Sans" w:hAnsi="Open Sans"/>
          <w:b w:val="0"/>
          <w:i w:val="0"/>
          <w:sz w:val="21"/>
        </w:rPr>
        <w:t>Pick an availability target from the table in clause 4.1 and put it in clause 4.2. Check the maximum downtime that goes with it and ask whether you could live with a single bad Monday.</w:t>
      </w:r>
    </w:p>
    <w:p>
      <w:pPr>
        <w:pStyle w:val="ListNumber"/>
        <w:spacing w:after="60"/>
        <w:ind w:left="340"/>
      </w:pPr>
      <w:r>
        <w:rPr>
          <w:rFonts w:ascii="Open Sans" w:hAnsi="Open Sans"/>
          <w:b w:val="0"/>
          <w:i w:val="0"/>
          <w:sz w:val="21"/>
        </w:rPr>
        <w:t>Set the four priority levels in clause 4.4 using examples from this customer's actual business, not generic ones.</w:t>
      </w:r>
    </w:p>
    <w:p>
      <w:pPr>
        <w:pStyle w:val="ListNumber"/>
        <w:spacing w:after="60"/>
        <w:ind w:left="340"/>
      </w:pPr>
      <w:r>
        <w:rPr>
          <w:rFonts w:ascii="Open Sans" w:hAnsi="Open Sans"/>
          <w:b w:val="0"/>
          <w:i w:val="0"/>
          <w:sz w:val="21"/>
        </w:rPr>
        <w:t>Name the support channel of record in Schedule A. One channel, not four.</w:t>
      </w:r>
    </w:p>
    <w:p>
      <w:pPr>
        <w:pStyle w:val="ListNumber"/>
        <w:spacing w:after="60"/>
        <w:ind w:left="340"/>
      </w:pPr>
      <w:r>
        <w:rPr>
          <w:rFonts w:ascii="Open Sans" w:hAnsi="Open Sans"/>
          <w:b w:val="0"/>
          <w:i w:val="0"/>
          <w:sz w:val="21"/>
        </w:rPr>
        <w:t>Agree who has backup power at which site, and write both load shedding blocks into Schedule A.3.</w:t>
      </w:r>
    </w:p>
    <w:p>
      <w:pPr>
        <w:pStyle w:val="ListNumber"/>
        <w:spacing w:after="60"/>
        <w:ind w:left="340"/>
      </w:pPr>
      <w:r>
        <w:rPr>
          <w:rFonts w:ascii="Open Sans" w:hAnsi="Open Sans"/>
          <w:b w:val="0"/>
          <w:i w:val="0"/>
          <w:sz w:val="21"/>
        </w:rPr>
        <w:t>Set the service credits in clause 10 at a level that stings a little and does not put you out of business.</w:t>
      </w:r>
    </w:p>
    <w:p>
      <w:pPr>
        <w:pStyle w:val="ListNumber"/>
        <w:spacing w:after="60"/>
        <w:ind w:left="340"/>
      </w:pPr>
      <w:r>
        <w:rPr>
          <w:rFonts w:ascii="Open Sans" w:hAnsi="Open Sans"/>
          <w:b w:val="0"/>
          <w:i w:val="0"/>
          <w:sz w:val="21"/>
        </w:rPr>
        <w:t>Fill in clause 14: initial term, notice period, and the early cancellation charge.</w:t>
      </w:r>
    </w:p>
    <w:p>
      <w:pPr>
        <w:pStyle w:val="ListNumber"/>
        <w:spacing w:after="60"/>
        <w:ind w:left="340"/>
      </w:pPr>
      <w:r>
        <w:rPr>
          <w:rFonts w:ascii="Open Sans" w:hAnsi="Open Sans"/>
          <w:b w:val="0"/>
          <w:i w:val="0"/>
          <w:sz w:val="21"/>
        </w:rPr>
        <w:t>Check whether the customer is a natural person or a juristic person, and complete clause 14.7 accordingly.</w:t>
      </w:r>
    </w:p>
    <w:p>
      <w:pPr>
        <w:pStyle w:val="ListNumber"/>
        <w:spacing w:after="60"/>
        <w:ind w:left="340"/>
      </w:pPr>
      <w:r>
        <w:rPr>
          <w:rFonts w:ascii="Open Sans" w:hAnsi="Open Sans"/>
          <w:b w:val="0"/>
          <w:i w:val="0"/>
          <w:sz w:val="21"/>
        </w:rPr>
        <w:t>Both parties sign, and diarise the first monthly review before anyone leaves the room.</w:t>
      </w:r>
    </w:p>
    <w:p>
      <w:r>
        <w:br w:type="page"/>
      </w:r>
    </w:p>
    <w:p>
      <w:pPr>
        <w:pStyle w:val="Heading1"/>
      </w:pPr>
      <w:r>
        <w:t>Service level agreement</w:t>
      </w:r>
    </w:p>
    <w:p>
      <w:pPr>
        <w:spacing w:after="120" w:before="0"/>
        <w:jc w:val="both"/>
      </w:pPr>
      <w:r>
        <w:rPr>
          <w:rFonts w:ascii="Open Sans" w:hAnsi="Open Sans"/>
          <w:b w:val="0"/>
          <w:i w:val="0"/>
          <w:sz w:val="21"/>
        </w:rPr>
        <w:t>Entered into between the parties described below, who agree as follows.</w:t>
      </w:r>
    </w:p>
    <w:p>
      <w:pPr>
        <w:spacing w:after="40" w:before="80"/>
      </w:pPr>
      <w:r>
        <w:rPr>
          <w:rFonts w:ascii="Open Sans" w:hAnsi="Open Sans"/>
          <w:b/>
          <w:i w:val="0"/>
          <w:sz w:val="21"/>
        </w:rPr>
        <w:t>The customer:</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 OR INDIVIDUAL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or ID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r>
              <w:rPr>
                <w:rFonts w:ascii="Open Sans" w:hAnsi="Open Sans"/>
                <w:b w:val="0"/>
                <w:i w:val="0"/>
                <w:sz w:val="21"/>
              </w:rPr>
              <w:t xml:space="preserve"> or </w:t>
            </w:r>
            <w:r>
              <w:rPr>
                <w:rFonts w:ascii="Open Sans" w:hAnsi="Open Sans"/>
                <w:b w:val="0"/>
                <w:i w:val="0"/>
                <w:color w:val="21759B"/>
                <w:sz w:val="21"/>
              </w:rPr>
              <w:t>[YYMMDD XXXX XX X]</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the customer a natural person or a juristic person?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[Natural person / Juristic person]</w:t>
            </w:r>
            <w:r>
              <w:rPr>
                <w:rFonts w:ascii="Open Sans" w:hAnsi="Open Sans"/>
                <w:b w:val="0"/>
                <w:i w:val="0"/>
                <w:sz w:val="21"/>
              </w:rPr>
              <w:t>. This determines clause 14.7</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Physical address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[Street, suburb, city, postal code]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Primary contact</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title, email, +27 XX XXX XXXX]</w:t>
            </w:r>
          </w:p>
        </w:tc>
      </w:tr>
    </w:tbl>
    <w:p>
      <w:pPr>
        <w:spacing w:after="40" w:before="120"/>
      </w:pPr>
      <w:r>
        <w:rPr>
          <w:rFonts w:ascii="Open Sans" w:hAnsi="Open Sans"/>
          <w:b/>
          <w:i w:val="0"/>
          <w:sz w:val="21"/>
        </w:rPr>
        <w:t>The service provider:</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legal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VAT number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[4XXXXXXXXX]</w:t>
            </w:r>
            <w:r>
              <w:rPr>
                <w:rFonts w:ascii="Open Sans" w:hAnsi="Open Sans"/>
                <w:b w:val="0"/>
                <w:i w:val="0"/>
                <w:sz w:val="21"/>
              </w:rPr>
              <w:t xml:space="preserve"> or not registered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B-BBEE status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[Level 1 to 8, EME or QSE, with affidavit or certificate attached]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Account manager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title, email, +27 XX XXX XXXX]</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Support channel</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[support@provider.co.za / ticket system URL / +27 XX XXX XXXX]</w:t>
            </w:r>
          </w:p>
        </w:tc>
      </w:tr>
    </w:tbl>
    <w:p>
      <w:pPr>
        <w:spacing w:after="40" w:before="120"/>
      </w:pPr>
      <w:r>
        <w:rPr>
          <w:rFonts w:ascii="Open Sans" w:hAnsi="Open Sans"/>
          <w:b/>
          <w:i w:val="0"/>
          <w:sz w:val="21"/>
        </w:rPr>
        <w:t>Commercial terms: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Effective date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Initial term</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[12]</w:t>
            </w:r>
            <w:r>
              <w:rPr>
                <w:rFonts w:ascii="Open Sans" w:hAnsi="Open Sans"/>
                <w:b w:val="0"/>
                <w:i w:val="0"/>
                <w:sz w:val="21"/>
              </w:rPr>
              <w:t xml:space="preserve"> months</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Monthly fee, excluding VAT</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Payment terms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[Monthly in advance, 30 days from invoice]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Service window</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[Monday to Friday, 07:00 to 18:00, excluding public holidays]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 cycle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[Monthly operational, quarterly strategic]</w:t>
            </w:r>
          </w:p>
        </w:tc>
      </w:tr>
    </w:tbl>
    <w:p>
      <w:pPr>
        <w:keepNext/>
        <w:spacing w:before="200" w:after="60"/>
      </w:pPr>
      <w:r>
        <w:rPr>
          <w:rFonts w:ascii="Montserrat" w:hAnsi="Montserrat"/>
          <w:b/>
          <w:color w:val="191C4A"/>
          <w:sz w:val="21"/>
        </w:rPr>
        <w:t>1. DEFINITIONS</w:t>
      </w:r>
    </w:p>
    <w:p>
      <w:pPr>
        <w:spacing w:after="80" w:before="0"/>
        <w:jc w:val="both"/>
      </w:pPr>
      <w:r>
        <w:rPr>
          <w:rFonts w:ascii="Open Sans" w:hAnsi="Open Sans"/>
          <w:b w:val="0"/>
          <w:i w:val="0"/>
          <w:sz w:val="21"/>
        </w:rPr>
        <w:t>In this agreement the following words have the meanings given to them here.</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TERM</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MEANING</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Business day</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day other than a Saturday, a Sunday or a South African public holiday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Business hours</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hours in the service window stated in the commercial terms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Incident</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unplanned interruption to the services, or a reduction in their quality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Response time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time from the customer logging an incident on the agreed channel to the service provider acknowledging it to a named person and confirming its priority</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Resolution time</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time from acknowledgement to the service being restored, including by a workaround that removes the business impact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Service credit</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pre-agreed reduction of the monthly fee where a service level target is missed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Service window</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hours during which the services must be available and the service levels are measured</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Downtime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period inside the service window during which the services are unavailable, other than a period excluded by clause 7</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Load shedding</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Planned or unplanned interruption of the electricity supply by Eskom or a municipal distributor, whether announced in advance or not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Loss of supply event</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national grid failure, or an unannounced interruption of the electricity supply that lasts longer than the maximum period in clause 12.4</w:t>
            </w:r>
          </w:p>
        </w:tc>
      </w:tr>
    </w:tbl>
    <w:p>
      <w:pPr>
        <w:keepNext/>
        <w:spacing w:before="200" w:after="60"/>
      </w:pPr>
      <w:r>
        <w:rPr>
          <w:rFonts w:ascii="Montserrat" w:hAnsi="Montserrat"/>
          <w:b/>
          <w:color w:val="191C4A"/>
          <w:sz w:val="21"/>
        </w:rPr>
        <w:t>2. SCOPE OF THE SERVICES</w:t>
      </w:r>
    </w:p>
    <w:p>
      <w:pPr>
        <w:spacing w:after="80"/>
        <w:ind w:left="624" w:hanging="624"/>
        <w:jc w:val="both"/>
      </w:pPr>
      <w:r>
        <w:rPr>
          <w:rFonts w:ascii="Open Sans" w:hAnsi="Open Sans"/>
          <w:b/>
          <w:color w:val="191C4A"/>
          <w:sz w:val="21"/>
        </w:rPr>
        <w:t>2.1</w:t>
        <w:tab/>
      </w:r>
      <w:r>
        <w:rPr>
          <w:rFonts w:ascii="Open Sans" w:hAnsi="Open Sans"/>
          <w:b w:val="0"/>
          <w:i w:val="0"/>
          <w:sz w:val="21"/>
        </w:rPr>
        <w:t>The service provider will deliver the services described in Schedule A, in accordance with the service levels in clause 4.</w:t>
      </w:r>
    </w:p>
    <w:p>
      <w:pPr>
        <w:spacing w:after="80"/>
        <w:ind w:left="624" w:hanging="624"/>
        <w:jc w:val="both"/>
      </w:pPr>
      <w:r>
        <w:rPr>
          <w:rFonts w:ascii="Open Sans" w:hAnsi="Open Sans"/>
          <w:b/>
          <w:color w:val="191C4A"/>
          <w:sz w:val="21"/>
        </w:rPr>
        <w:t>2.2</w:t>
        <w:tab/>
      </w:r>
      <w:r>
        <w:rPr>
          <w:rFonts w:ascii="Open Sans" w:hAnsi="Open Sans"/>
          <w:b w:val="0"/>
          <w:i w:val="0"/>
          <w:sz w:val="21"/>
        </w:rPr>
        <w:t>The service provider will supply all labour, skill, personnel, tools, software licences and equipment needed to deliver the services, unless Schedule A says the customer supplies something.</w:t>
      </w:r>
    </w:p>
    <w:p>
      <w:pPr>
        <w:spacing w:after="80"/>
        <w:ind w:left="624" w:hanging="624"/>
        <w:jc w:val="both"/>
      </w:pPr>
      <w:r>
        <w:rPr>
          <w:rFonts w:ascii="Open Sans" w:hAnsi="Open Sans"/>
          <w:b/>
          <w:color w:val="191C4A"/>
          <w:sz w:val="21"/>
        </w:rPr>
        <w:t>2.3</w:t>
        <w:tab/>
      </w:r>
      <w:r>
        <w:rPr>
          <w:rFonts w:ascii="Open Sans" w:hAnsi="Open Sans"/>
          <w:b w:val="0"/>
          <w:i w:val="0"/>
          <w:sz w:val="21"/>
        </w:rPr>
        <w:t>The service provider will use personnel who are suitably qualified and, where the law requires it, licensed or registered, and will perform the services with reasonable care, skill and diligence and to the standard the customer is generally entitled to expect.</w:t>
      </w:r>
    </w:p>
    <w:p>
      <w:pPr>
        <w:spacing w:after="80"/>
        <w:ind w:left="624" w:hanging="624"/>
        <w:jc w:val="both"/>
      </w:pPr>
      <w:r>
        <w:rPr>
          <w:rFonts w:ascii="Open Sans" w:hAnsi="Open Sans"/>
          <w:b/>
          <w:color w:val="191C4A"/>
          <w:sz w:val="21"/>
        </w:rPr>
        <w:t>2.4</w:t>
        <w:tab/>
      </w:r>
      <w:r>
        <w:rPr>
          <w:rFonts w:ascii="Open Sans" w:hAnsi="Open Sans"/>
          <w:b w:val="0"/>
          <w:i w:val="0"/>
          <w:sz w:val="21"/>
        </w:rPr>
        <w:t>The service provider will comply with all applicable South African legislation, standards and regulations in delivering the services.</w:t>
      </w:r>
    </w:p>
    <w:p>
      <w:pPr>
        <w:spacing w:after="80"/>
        <w:ind w:left="624" w:hanging="624"/>
        <w:jc w:val="both"/>
      </w:pPr>
      <w:r>
        <w:rPr>
          <w:rFonts w:ascii="Open Sans" w:hAnsi="Open Sans"/>
          <w:b/>
          <w:color w:val="191C4A"/>
          <w:sz w:val="21"/>
        </w:rPr>
        <w:t>2.5</w:t>
        <w:tab/>
      </w:r>
      <w:r>
        <w:rPr>
          <w:rFonts w:ascii="Open Sans" w:hAnsi="Open Sans"/>
          <w:b w:val="0"/>
          <w:i w:val="0"/>
          <w:sz w:val="21"/>
        </w:rPr>
        <w:t>The service provider may not subcontract a material part of the services without the customer's written consent, and remains fully responsible for any subcontractor it does use.</w:t>
      </w:r>
    </w:p>
    <w:p>
      <w:pPr>
        <w:keepNext/>
        <w:spacing w:before="200" w:after="60"/>
      </w:pPr>
      <w:r>
        <w:rPr>
          <w:rFonts w:ascii="Montserrat" w:hAnsi="Montserrat"/>
          <w:b/>
          <w:color w:val="191C4A"/>
          <w:sz w:val="21"/>
        </w:rPr>
        <w:t>3. WHAT IS NOT INCLUDED</w:t>
      </w:r>
    </w:p>
    <w:p>
      <w:pPr>
        <w:spacing w:after="80"/>
        <w:ind w:left="624" w:hanging="624"/>
        <w:jc w:val="both"/>
      </w:pPr>
      <w:r>
        <w:rPr>
          <w:rFonts w:ascii="Open Sans" w:hAnsi="Open Sans"/>
          <w:b/>
          <w:color w:val="191C4A"/>
          <w:sz w:val="21"/>
        </w:rPr>
        <w:t>3.1</w:t>
        <w:tab/>
      </w:r>
      <w:r>
        <w:rPr>
          <w:rFonts w:ascii="Open Sans" w:hAnsi="Open Sans"/>
          <w:b w:val="0"/>
          <w:i w:val="0"/>
          <w:sz w:val="21"/>
        </w:rPr>
        <w:t>The following are outside the fee and outside the service levels unless Schedule A says otherwise: [hardware and consumables, third party software licences, work caused by the customer's own systems or by a third party system, on site attendance unless specified, work outside the service window, data recovery where the customer did not maintain the backups it is responsible for, and any change to the environment that the customer made without notice].</w:t>
      </w:r>
    </w:p>
    <w:p>
      <w:pPr>
        <w:spacing w:after="80"/>
        <w:ind w:left="624" w:hanging="624"/>
        <w:jc w:val="both"/>
      </w:pPr>
      <w:r>
        <w:rPr>
          <w:rFonts w:ascii="Open Sans" w:hAnsi="Open Sans"/>
          <w:b/>
          <w:color w:val="191C4A"/>
          <w:sz w:val="21"/>
        </w:rPr>
        <w:t>3.2</w:t>
        <w:tab/>
      </w:r>
      <w:r>
        <w:rPr>
          <w:rFonts w:ascii="Open Sans" w:hAnsi="Open Sans"/>
          <w:b w:val="0"/>
          <w:i w:val="0"/>
          <w:sz w:val="21"/>
        </w:rPr>
        <w:t xml:space="preserve">Work outside the scope requires a written change request from the customer. The service provider will quote in writing within </w:t>
      </w:r>
      <w:r>
        <w:rPr>
          <w:rFonts w:ascii="Open Sans" w:hAnsi="Open Sans"/>
          <w:b w:val="0"/>
          <w:i w:val="0"/>
          <w:color w:val="21759B"/>
          <w:sz w:val="21"/>
        </w:rPr>
        <w:t>[3]</w:t>
      </w:r>
      <w:r>
        <w:rPr>
          <w:rFonts w:ascii="Open Sans" w:hAnsi="Open Sans"/>
          <w:b w:val="0"/>
          <w:i w:val="0"/>
          <w:sz w:val="21"/>
        </w:rPr>
        <w:t xml:space="preserve"> business days, and will not start the work until an authorised person accepts the quote in writing.</w:t>
      </w:r>
    </w:p>
    <w:p>
      <w:pPr>
        <w:spacing w:after="80"/>
        <w:ind w:left="624" w:hanging="624"/>
        <w:jc w:val="both"/>
      </w:pPr>
      <w:r>
        <w:rPr>
          <w:rFonts w:ascii="Open Sans" w:hAnsi="Open Sans"/>
          <w:b/>
          <w:color w:val="191C4A"/>
          <w:sz w:val="21"/>
        </w:rPr>
        <w:t>3.3</w:t>
        <w:tab/>
      </w:r>
      <w:r>
        <w:rPr>
          <w:rFonts w:ascii="Open Sans" w:hAnsi="Open Sans"/>
          <w:b w:val="0"/>
          <w:i w:val="0"/>
          <w:sz w:val="21"/>
        </w:rPr>
        <w:t>Out of scope work is charged at the ad hoc rate in Schedule A and is not covered by the service levels or the service credits.</w:t>
      </w:r>
    </w:p>
    <w:p>
      <w:pPr>
        <w:keepNext/>
        <w:spacing w:before="200" w:after="60"/>
      </w:pPr>
      <w:r>
        <w:rPr>
          <w:rFonts w:ascii="Montserrat" w:hAnsi="Montserrat"/>
          <w:b/>
          <w:color w:val="191C4A"/>
          <w:sz w:val="21"/>
        </w:rPr>
        <w:t>4. SERVICE LEVELS</w:t>
      </w:r>
    </w:p>
    <w:p>
      <w:pPr>
        <w:spacing w:after="80" w:before="0"/>
        <w:jc w:val="both"/>
      </w:pPr>
      <w:r>
        <w:rPr>
          <w:rFonts w:ascii="Open Sans" w:hAnsi="Open Sans"/>
          <w:b w:val="0"/>
          <w:i w:val="0"/>
          <w:sz w:val="21"/>
        </w:rPr>
        <w:t>These are the measurable promises. Replace every bracketed target with the level you are genuinely able to deliver.</w:t>
      </w:r>
    </w:p>
    <w:p>
      <w:pPr>
        <w:spacing w:after="80"/>
        <w:ind w:left="624" w:hanging="624"/>
        <w:jc w:val="both"/>
      </w:pPr>
      <w:r>
        <w:rPr>
          <w:rFonts w:ascii="Open Sans" w:hAnsi="Open Sans"/>
          <w:b/>
          <w:color w:val="191C4A"/>
          <w:sz w:val="21"/>
        </w:rPr>
        <w:t>4.1</w:t>
        <w:tab/>
      </w:r>
      <w:r>
        <w:rPr>
          <w:rFonts w:ascii="Open Sans" w:hAnsi="Open Sans"/>
          <w:b w:val="0"/>
          <w:i w:val="0"/>
          <w:sz w:val="21"/>
        </w:rPr>
        <w:t>Availability. The services will be available for at least the percentage of the service window shown below, measured monthly.</w:t>
      </w:r>
    </w:p>
    <w:tbl>
      <w:tblPr>
        <w:tblW w:type="dxa" w:w="9025"/>
        <w:jc w:val="center"/>
        <w:tblLayout w:type="fixed"/>
        <w:tblLook w:firstColumn="1" w:firstRow="1" w:lastColumn="0" w:lastRow="0" w:noHBand="0" w:noVBand="1" w:val="04A0"/>
      </w:tblPr>
      <w:tblGrid>
        <w:gridCol w:w="1444"/>
        <w:gridCol w:w="2346"/>
        <w:gridCol w:w="2346"/>
        <w:gridCol w:w="2888"/>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AVAILABILITY TARGET</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MAXIMUM DOWNTIME A MONTH, ON A 24 HOUR SERVICE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MAXIMUM DOWNTIME A MONTH, ON A 55 HOUR SERVICE WINDOW</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SUITS</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99.9%</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43 minutes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minutes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provider with redundant infrastructure and after hours cover</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99.5%</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hours 36 minutes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17 minutes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small provider with backup power and a standby technician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99.0%</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 hours 12 minutes</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33 minutes</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realistic starting point for a one or two person operation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98.0%</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14 hours 24 minutes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hour 6 minutes</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Best efforts, business hours only</w:t>
            </w:r>
          </w:p>
        </w:tc>
      </w:tr>
    </w:tbl>
    <w:p>
      <w:pPr>
        <w:spacing w:after="80"/>
        <w:ind w:left="624" w:hanging="624"/>
        <w:jc w:val="both"/>
      </w:pPr>
      <w:r>
        <w:rPr>
          <w:rFonts w:ascii="Open Sans" w:hAnsi="Open Sans"/>
          <w:b/>
          <w:color w:val="191C4A"/>
          <w:sz w:val="21"/>
        </w:rPr>
        <w:t>4.2</w:t>
        <w:tab/>
      </w:r>
      <w:r>
        <w:rPr>
          <w:rFonts w:ascii="Open Sans" w:hAnsi="Open Sans"/>
          <w:b w:val="0"/>
          <w:i w:val="0"/>
          <w:sz w:val="21"/>
        </w:rPr>
        <w:t xml:space="preserve">The availability target for this agreement is </w:t>
      </w:r>
      <w:r>
        <w:rPr>
          <w:rFonts w:ascii="Open Sans" w:hAnsi="Open Sans"/>
          <w:b w:val="0"/>
          <w:i w:val="0"/>
          <w:color w:val="21759B"/>
          <w:sz w:val="21"/>
        </w:rPr>
        <w:t>[99.0]</w:t>
      </w:r>
      <w:r>
        <w:rPr>
          <w:rFonts w:ascii="Open Sans" w:hAnsi="Open Sans"/>
          <w:b w:val="0"/>
          <w:i w:val="0"/>
          <w:sz w:val="21"/>
        </w:rPr>
        <w:t>% of the service window, measured over each calendar month.</w:t>
      </w:r>
    </w:p>
    <w:p>
      <w:pPr>
        <w:spacing w:after="80"/>
        <w:ind w:left="624" w:hanging="624"/>
        <w:jc w:val="both"/>
      </w:pPr>
      <w:r>
        <w:rPr>
          <w:rFonts w:ascii="Open Sans" w:hAnsi="Open Sans"/>
          <w:b/>
          <w:color w:val="191C4A"/>
          <w:sz w:val="21"/>
        </w:rPr>
        <w:t>4.3</w:t>
        <w:tab/>
      </w:r>
      <w:r>
        <w:rPr>
          <w:rFonts w:ascii="Open Sans" w:hAnsi="Open Sans"/>
          <w:b w:val="0"/>
          <w:i w:val="0"/>
          <w:sz w:val="21"/>
        </w:rPr>
        <w:t>Availability is calculated as the service window minutes in the month, less downtime, divided by the service window minutes in the month, expressed as a percentage.</w:t>
      </w:r>
    </w:p>
    <w:p>
      <w:pPr>
        <w:spacing w:after="80"/>
        <w:ind w:left="624" w:hanging="624"/>
        <w:jc w:val="both"/>
      </w:pPr>
      <w:r>
        <w:rPr>
          <w:rFonts w:ascii="Open Sans" w:hAnsi="Open Sans"/>
          <w:b/>
          <w:color w:val="191C4A"/>
          <w:sz w:val="21"/>
        </w:rPr>
        <w:t>4.4</w:t>
        <w:tab/>
      </w:r>
      <w:r>
        <w:rPr>
          <w:rFonts w:ascii="Open Sans" w:hAnsi="Open Sans"/>
          <w:b w:val="0"/>
          <w:i w:val="0"/>
          <w:sz w:val="21"/>
        </w:rPr>
        <w:t>Response and resolution. The service provider will respond to and resolve incidents within the times below, measured from the moment the incident is logged on the agreed channel.</w:t>
      </w:r>
    </w:p>
    <w:tbl>
      <w:tblPr>
        <w:tblW w:type="dxa" w:w="9025"/>
        <w:jc w:val="center"/>
        <w:tblLayout w:type="fixed"/>
        <w:tblLook w:firstColumn="1" w:firstRow="1" w:lastColumn="0" w:lastRow="0" w:noHBand="0" w:noVBand="1" w:val="04A0"/>
      </w:tblPr>
      <w:tblGrid>
        <w:gridCol w:w="1083"/>
        <w:gridCol w:w="2346"/>
        <w:gridCol w:w="2346"/>
        <w:gridCol w:w="1624"/>
        <w:gridCol w:w="1624"/>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PRIORITY</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EXAMPLE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RESPOND WITHIN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RESOLVE WITHIN</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P1 Critical</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service is completely unavailable, or data has been lost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point of sale system is down and no sale can be processed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r>
              <w:rPr>
                <w:rFonts w:ascii="Open Sans" w:hAnsi="Open Sans"/>
                <w:b w:val="0"/>
                <w:i w:val="0"/>
                <w:sz w:val="18"/>
              </w:rPr>
              <w:t xml:space="preserve"> business hour</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r>
              <w:rPr>
                <w:rFonts w:ascii="Open Sans" w:hAnsi="Open Sans"/>
                <w:b w:val="0"/>
                <w:i w:val="0"/>
                <w:sz w:val="18"/>
              </w:rPr>
              <w:t xml:space="preserve"> business hours</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P2 High</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major function is unavailable, or performance is badly degraded</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Invoices cannot be issued but the rest of the system works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[4]</w:t>
            </w:r>
            <w:r>
              <w:rPr>
                <w:rFonts w:ascii="Open Sans" w:hAnsi="Open Sans"/>
                <w:b w:val="0"/>
                <w:i w:val="0"/>
                <w:sz w:val="18"/>
              </w:rPr>
              <w:t xml:space="preserve"> business hours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r>
              <w:rPr>
                <w:rFonts w:ascii="Open Sans" w:hAnsi="Open Sans"/>
                <w:b w:val="0"/>
                <w:i w:val="0"/>
                <w:sz w:val="18"/>
              </w:rPr>
              <w:t xml:space="preserve"> business day</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P3 Medium</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Partial loss of function with a workaround available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report will not generate but the data can be exported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r>
              <w:rPr>
                <w:rFonts w:ascii="Open Sans" w:hAnsi="Open Sans"/>
                <w:b w:val="0"/>
                <w:i w:val="0"/>
                <w:sz w:val="18"/>
              </w:rPr>
              <w:t xml:space="preserve"> business day</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[5]</w:t>
            </w:r>
            <w:r>
              <w:rPr>
                <w:rFonts w:ascii="Open Sans" w:hAnsi="Open Sans"/>
                <w:b w:val="0"/>
                <w:i w:val="0"/>
                <w:sz w:val="18"/>
              </w:rPr>
              <w:t xml:space="preserve"> business days</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P4 Low</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Minor issue, cosmetic fault, or a request for a change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label is wrong on a screen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r>
              <w:rPr>
                <w:rFonts w:ascii="Open Sans" w:hAnsi="Open Sans"/>
                <w:b w:val="0"/>
                <w:i w:val="0"/>
                <w:sz w:val="18"/>
              </w:rPr>
              <w:t xml:space="preserve"> business days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w:t>
            </w:r>
            <w:r>
              <w:rPr>
                <w:rFonts w:ascii="Open Sans" w:hAnsi="Open Sans"/>
                <w:b w:val="0"/>
                <w:i w:val="0"/>
                <w:sz w:val="18"/>
              </w:rPr>
              <w:t xml:space="preserve"> business days</w:t>
            </w:r>
          </w:p>
        </w:tc>
      </w:tr>
    </w:tbl>
    <w:p>
      <w:pPr>
        <w:spacing w:after="80"/>
        <w:ind w:left="624" w:hanging="624"/>
        <w:jc w:val="both"/>
      </w:pPr>
      <w:r>
        <w:rPr>
          <w:rFonts w:ascii="Open Sans" w:hAnsi="Open Sans"/>
          <w:b/>
          <w:color w:val="191C4A"/>
          <w:sz w:val="21"/>
        </w:rPr>
        <w:t>4.5</w:t>
        <w:tab/>
      </w:r>
      <w:r>
        <w:rPr>
          <w:rFonts w:ascii="Open Sans" w:hAnsi="Open Sans"/>
          <w:b w:val="0"/>
          <w:i w:val="0"/>
          <w:sz w:val="21"/>
        </w:rPr>
        <w:t xml:space="preserve">The service provider assigns the priority on logging, using the definitions above. If the customer disagrees, the account manager and the customer's primary contact must agree the priority within </w:t>
      </w:r>
      <w:r>
        <w:rPr>
          <w:rFonts w:ascii="Open Sans" w:hAnsi="Open Sans"/>
          <w:b w:val="0"/>
          <w:i w:val="0"/>
          <w:color w:val="21759B"/>
          <w:sz w:val="21"/>
        </w:rPr>
        <w:t>[2]</w:t>
      </w:r>
      <w:r>
        <w:rPr>
          <w:rFonts w:ascii="Open Sans" w:hAnsi="Open Sans"/>
          <w:b w:val="0"/>
          <w:i w:val="0"/>
          <w:sz w:val="21"/>
        </w:rPr>
        <w:t xml:space="preserve"> business hours, failing which the customer's assessment applies until the incident is resolved, and the correct priority is settled at the monthly review.</w:t>
      </w:r>
    </w:p>
    <w:p>
      <w:pPr>
        <w:spacing w:after="80"/>
        <w:ind w:left="624" w:hanging="624"/>
        <w:jc w:val="both"/>
      </w:pPr>
      <w:r>
        <w:rPr>
          <w:rFonts w:ascii="Open Sans" w:hAnsi="Open Sans"/>
          <w:b/>
          <w:color w:val="191C4A"/>
          <w:sz w:val="21"/>
        </w:rPr>
        <w:t>4.6</w:t>
        <w:tab/>
      </w:r>
      <w:r>
        <w:rPr>
          <w:rFonts w:ascii="Open Sans" w:hAnsi="Open Sans"/>
          <w:b w:val="0"/>
          <w:i w:val="0"/>
          <w:sz w:val="21"/>
        </w:rPr>
        <w:t xml:space="preserve">For a P1 or P2 incident the service provider will send an initial notification to the customer's primary contact within </w:t>
      </w:r>
      <w:r>
        <w:rPr>
          <w:rFonts w:ascii="Open Sans" w:hAnsi="Open Sans"/>
          <w:b w:val="0"/>
          <w:i w:val="0"/>
          <w:color w:val="21759B"/>
          <w:sz w:val="21"/>
        </w:rPr>
        <w:t>[30]</w:t>
      </w:r>
      <w:r>
        <w:rPr>
          <w:rFonts w:ascii="Open Sans" w:hAnsi="Open Sans"/>
          <w:b w:val="0"/>
          <w:i w:val="0"/>
          <w:sz w:val="21"/>
        </w:rPr>
        <w:t xml:space="preserve"> minutes of logging, an update every </w:t>
      </w:r>
      <w:r>
        <w:rPr>
          <w:rFonts w:ascii="Open Sans" w:hAnsi="Open Sans"/>
          <w:b w:val="0"/>
          <w:i w:val="0"/>
          <w:color w:val="21759B"/>
          <w:sz w:val="21"/>
        </w:rPr>
        <w:t>[2]</w:t>
      </w:r>
      <w:r>
        <w:rPr>
          <w:rFonts w:ascii="Open Sans" w:hAnsi="Open Sans"/>
          <w:b w:val="0"/>
          <w:i w:val="0"/>
          <w:sz w:val="21"/>
        </w:rPr>
        <w:t xml:space="preserve"> hours until it is resolved, and a written report within </w:t>
      </w:r>
      <w:r>
        <w:rPr>
          <w:rFonts w:ascii="Open Sans" w:hAnsi="Open Sans"/>
          <w:b w:val="0"/>
          <w:i w:val="0"/>
          <w:color w:val="21759B"/>
          <w:sz w:val="21"/>
        </w:rPr>
        <w:t>[2]</w:t>
      </w:r>
      <w:r>
        <w:rPr>
          <w:rFonts w:ascii="Open Sans" w:hAnsi="Open Sans"/>
          <w:b w:val="0"/>
          <w:i w:val="0"/>
          <w:sz w:val="21"/>
        </w:rPr>
        <w:t xml:space="preserve"> business days of resolution setting out the root cause and what will be done to prevent a recurrence.</w:t>
      </w:r>
    </w:p>
    <w:p>
      <w:pPr>
        <w:keepNext/>
        <w:spacing w:before="200" w:after="60"/>
      </w:pPr>
      <w:r>
        <w:rPr>
          <w:rFonts w:ascii="Montserrat" w:hAnsi="Montserrat"/>
          <w:b/>
          <w:color w:val="191C4A"/>
          <w:sz w:val="21"/>
        </w:rPr>
        <w:t>5. ESCALATION</w:t>
      </w:r>
    </w:p>
    <w:p>
      <w:pPr>
        <w:spacing w:after="80" w:before="0"/>
        <w:jc w:val="both"/>
      </w:pPr>
      <w:r>
        <w:rPr>
          <w:rFonts w:ascii="Open Sans" w:hAnsi="Open Sans"/>
          <w:b w:val="0"/>
          <w:i w:val="0"/>
          <w:sz w:val="21"/>
        </w:rPr>
        <w:t>If an incident is not resolved within the target, it escalates automatically. The customer does not have to ask.</w:t>
      </w:r>
    </w:p>
    <w:tbl>
      <w:tblPr>
        <w:tblW w:type="dxa" w:w="9025"/>
        <w:jc w:val="center"/>
        <w:tblLayout w:type="fixed"/>
        <w:tblLook w:firstColumn="1" w:firstRow="1" w:lastColumn="0" w:lastRow="0" w:noHBand="0" w:noVBand="1" w:val="04A0"/>
      </w:tblPr>
      <w:tblGrid>
        <w:gridCol w:w="902"/>
        <w:gridCol w:w="2617"/>
        <w:gridCol w:w="2346"/>
        <w:gridCol w:w="3159"/>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26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TRIGGER</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GETS INVOLVED</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DO</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resolution target is exceeded by 25%</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[Team lead or senior technician]</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Review, reassign and reprioritise</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resolution target is exceeded by 50%</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[Technical or operations manager]</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Takes direct charge, and calls the customer's primary contact</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resolution target is exceeded by 100%</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[Director or owner of the service provider]</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Calls the customer's decision maker with a recovery plan and a time</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4</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Level 3 has not resolved it within </w:t>
            </w:r>
            <w:r>
              <w:rPr>
                <w:rFonts w:ascii="Open Sans" w:hAnsi="Open Sans"/>
                <w:b w:val="0"/>
                <w:i w:val="0"/>
                <w:color w:val="21759B"/>
                <w:sz w:val="18"/>
              </w:rPr>
              <w:t>[24]</w:t>
            </w:r>
            <w:r>
              <w:rPr>
                <w:rFonts w:ascii="Open Sans" w:hAnsi="Open Sans"/>
                <w:b w:val="0"/>
                <w:i w:val="0"/>
                <w:sz w:val="18"/>
              </w:rPr>
              <w:t xml:space="preserve"> hours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Both parties' decision makers</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customer may claim service credits under clause 10 and, if clause 14.5 applies, may cancel</w:t>
            </w:r>
          </w:p>
        </w:tc>
      </w:tr>
    </w:tbl>
    <w:p>
      <w:pPr>
        <w:keepNext/>
        <w:spacing w:before="200" w:after="60"/>
      </w:pPr>
      <w:r>
        <w:rPr>
          <w:rFonts w:ascii="Montserrat" w:hAnsi="Montserrat"/>
          <w:b/>
          <w:color w:val="191C4A"/>
          <w:sz w:val="21"/>
        </w:rPr>
        <w:t>6. MEASUREMENT AND REPORTING</w:t>
      </w:r>
    </w:p>
    <w:p>
      <w:pPr>
        <w:spacing w:after="80"/>
        <w:ind w:left="624" w:hanging="624"/>
        <w:jc w:val="both"/>
      </w:pPr>
      <w:r>
        <w:rPr>
          <w:rFonts w:ascii="Open Sans" w:hAnsi="Open Sans"/>
          <w:b/>
          <w:color w:val="191C4A"/>
          <w:sz w:val="21"/>
        </w:rPr>
        <w:t>6.1</w:t>
        <w:tab/>
      </w:r>
      <w:r>
        <w:rPr>
          <w:rFonts w:ascii="Open Sans" w:hAnsi="Open Sans"/>
          <w:b w:val="0"/>
          <w:i w:val="0"/>
          <w:sz w:val="21"/>
        </w:rPr>
        <w:t xml:space="preserve">The </w:t>
      </w:r>
      <w:r>
        <w:rPr>
          <w:rFonts w:ascii="Open Sans" w:hAnsi="Open Sans"/>
          <w:b w:val="0"/>
          <w:i w:val="0"/>
          <w:color w:val="21759B"/>
          <w:sz w:val="21"/>
        </w:rPr>
        <w:t>[service provider's ticket system and monitoring logs]</w:t>
      </w:r>
      <w:r>
        <w:rPr>
          <w:rFonts w:ascii="Open Sans" w:hAnsi="Open Sans"/>
          <w:b w:val="0"/>
          <w:i w:val="0"/>
          <w:sz w:val="21"/>
        </w:rPr>
        <w:t xml:space="preserve"> are the primary record for response times, resolution times and availability. The customer may inspect the underlying records on reasonable notice.</w:t>
      </w:r>
    </w:p>
    <w:p>
      <w:pPr>
        <w:spacing w:after="80"/>
        <w:ind w:left="624" w:hanging="624"/>
        <w:jc w:val="both"/>
      </w:pPr>
      <w:r>
        <w:rPr>
          <w:rFonts w:ascii="Open Sans" w:hAnsi="Open Sans"/>
          <w:b/>
          <w:color w:val="191C4A"/>
          <w:sz w:val="21"/>
        </w:rPr>
        <w:t>6.2</w:t>
        <w:tab/>
      </w:r>
      <w:r>
        <w:rPr>
          <w:rFonts w:ascii="Open Sans" w:hAnsi="Open Sans"/>
          <w:b w:val="0"/>
          <w:i w:val="0"/>
          <w:sz w:val="21"/>
        </w:rPr>
        <w:t>An incident only counts from the moment it is logged on the agreed support channel in Schedule A. A message to a technician's personal phone, a WhatsApp to someone who is on leave, or a comment in a meeting does not start the clock.</w:t>
      </w:r>
    </w:p>
    <w:p>
      <w:pPr>
        <w:spacing w:after="80"/>
        <w:ind w:left="624" w:hanging="624"/>
        <w:jc w:val="both"/>
      </w:pPr>
      <w:r>
        <w:rPr>
          <w:rFonts w:ascii="Open Sans" w:hAnsi="Open Sans"/>
          <w:b/>
          <w:color w:val="191C4A"/>
          <w:sz w:val="21"/>
        </w:rPr>
        <w:t>6.3</w:t>
        <w:tab/>
      </w:r>
      <w:r>
        <w:rPr>
          <w:rFonts w:ascii="Open Sans" w:hAnsi="Open Sans"/>
          <w:b w:val="0"/>
          <w:i w:val="0"/>
          <w:sz w:val="21"/>
        </w:rPr>
        <w:t xml:space="preserve">The service provider will give the customer a written performance report within </w:t>
      </w:r>
      <w:r>
        <w:rPr>
          <w:rFonts w:ascii="Open Sans" w:hAnsi="Open Sans"/>
          <w:b w:val="0"/>
          <w:i w:val="0"/>
          <w:color w:val="21759B"/>
          <w:sz w:val="21"/>
        </w:rPr>
        <w:t>[5]</w:t>
      </w:r>
      <w:r>
        <w:rPr>
          <w:rFonts w:ascii="Open Sans" w:hAnsi="Open Sans"/>
          <w:b w:val="0"/>
          <w:i w:val="0"/>
          <w:sz w:val="21"/>
        </w:rPr>
        <w:t xml:space="preserve"> business days of the end of each month, showing actual availability, every incident by priority with its response and resolution times, the percentage resolved within target, every missed target and why, any service credit due, planned maintenance for the coming month, and any trend the customer should act on.</w:t>
      </w:r>
    </w:p>
    <w:p>
      <w:pPr>
        <w:spacing w:after="80"/>
        <w:ind w:left="624" w:hanging="624"/>
        <w:jc w:val="both"/>
      </w:pPr>
      <w:r>
        <w:rPr>
          <w:rFonts w:ascii="Open Sans" w:hAnsi="Open Sans"/>
          <w:b/>
          <w:color w:val="191C4A"/>
          <w:sz w:val="21"/>
        </w:rPr>
        <w:t>6.4</w:t>
        <w:tab/>
      </w:r>
      <w:r>
        <w:rPr>
          <w:rFonts w:ascii="Open Sans" w:hAnsi="Open Sans"/>
          <w:b w:val="0"/>
          <w:i w:val="0"/>
          <w:sz w:val="21"/>
        </w:rPr>
        <w:t xml:space="preserve">The parties will hold an operational review </w:t>
      </w:r>
      <w:r>
        <w:rPr>
          <w:rFonts w:ascii="Open Sans" w:hAnsi="Open Sans"/>
          <w:b w:val="0"/>
          <w:i w:val="0"/>
          <w:color w:val="21759B"/>
          <w:sz w:val="21"/>
        </w:rPr>
        <w:t>[monthly]</w:t>
      </w:r>
      <w:r>
        <w:rPr>
          <w:rFonts w:ascii="Open Sans" w:hAnsi="Open Sans"/>
          <w:b w:val="0"/>
          <w:i w:val="0"/>
          <w:sz w:val="21"/>
        </w:rPr>
        <w:t xml:space="preserve"> and a business review </w:t>
      </w:r>
      <w:r>
        <w:rPr>
          <w:rFonts w:ascii="Open Sans" w:hAnsi="Open Sans"/>
          <w:b w:val="0"/>
          <w:i w:val="0"/>
          <w:color w:val="21759B"/>
          <w:sz w:val="21"/>
        </w:rPr>
        <w:t>[quarterly]</w:t>
      </w:r>
      <w:r>
        <w:rPr>
          <w:rFonts w:ascii="Open Sans" w:hAnsi="Open Sans"/>
          <w:b w:val="0"/>
          <w:i w:val="0"/>
          <w:sz w:val="21"/>
        </w:rPr>
        <w:t>. Either party may propose changes to the targets, the scope or the fee at a review. A change takes effect only when both parties sign it.</w:t>
      </w:r>
    </w:p>
    <w:p>
      <w:pPr>
        <w:keepNext/>
        <w:spacing w:before="200" w:after="60"/>
      </w:pPr>
      <w:r>
        <w:rPr>
          <w:rFonts w:ascii="Montserrat" w:hAnsi="Montserrat"/>
          <w:b/>
          <w:color w:val="191C4A"/>
          <w:sz w:val="21"/>
        </w:rPr>
        <w:t>7. WHAT IS EXCLUDED FROM DOWNTIME</w:t>
      </w:r>
    </w:p>
    <w:p>
      <w:pPr>
        <w:spacing w:after="80" w:before="0"/>
        <w:jc w:val="both"/>
      </w:pPr>
      <w:r>
        <w:rPr>
          <w:rFonts w:ascii="Open Sans" w:hAnsi="Open Sans"/>
          <w:b w:val="0"/>
          <w:i w:val="0"/>
          <w:sz w:val="21"/>
        </w:rPr>
        <w:t>The following periods do not count as downtime and do not trigger service credits:</w:t>
      </w:r>
    </w:p>
    <w:p>
      <w:pPr>
        <w:spacing w:after="80"/>
        <w:ind w:left="624" w:hanging="624"/>
        <w:jc w:val="both"/>
      </w:pPr>
      <w:r>
        <w:rPr>
          <w:rFonts w:ascii="Open Sans" w:hAnsi="Open Sans"/>
          <w:b/>
          <w:color w:val="191C4A"/>
          <w:sz w:val="21"/>
        </w:rPr>
        <w:t>7.1</w:t>
        <w:tab/>
      </w:r>
      <w:r>
        <w:rPr>
          <w:rFonts w:ascii="Open Sans" w:hAnsi="Open Sans"/>
          <w:b w:val="0"/>
          <w:i w:val="0"/>
          <w:sz w:val="21"/>
        </w:rPr>
        <w:t>planned maintenance carried out under clause 9, where the required notice was given;</w:t>
      </w:r>
    </w:p>
    <w:p>
      <w:pPr>
        <w:spacing w:after="80"/>
        <w:ind w:left="624" w:hanging="624"/>
        <w:jc w:val="both"/>
      </w:pPr>
      <w:r>
        <w:rPr>
          <w:rFonts w:ascii="Open Sans" w:hAnsi="Open Sans"/>
          <w:b/>
          <w:color w:val="191C4A"/>
          <w:sz w:val="21"/>
        </w:rPr>
        <w:t>7.2</w:t>
        <w:tab/>
      </w:r>
      <w:r>
        <w:rPr>
          <w:rFonts w:ascii="Open Sans" w:hAnsi="Open Sans"/>
          <w:b w:val="0"/>
          <w:i w:val="0"/>
          <w:sz w:val="21"/>
        </w:rPr>
        <w:t>emergency maintenance under clause 9.4, where it was needed to prevent a major incident or a security breach;</w:t>
      </w:r>
    </w:p>
    <w:p>
      <w:pPr>
        <w:spacing w:after="80"/>
        <w:ind w:left="624" w:hanging="624"/>
        <w:jc w:val="both"/>
      </w:pPr>
      <w:r>
        <w:rPr>
          <w:rFonts w:ascii="Open Sans" w:hAnsi="Open Sans"/>
          <w:b/>
          <w:color w:val="191C4A"/>
          <w:sz w:val="21"/>
        </w:rPr>
        <w:t>7.3</w:t>
        <w:tab/>
      </w:r>
      <w:r>
        <w:rPr>
          <w:rFonts w:ascii="Open Sans" w:hAnsi="Open Sans"/>
          <w:b w:val="0"/>
          <w:i w:val="0"/>
          <w:sz w:val="21"/>
        </w:rPr>
        <w:t>a force majeure event under clause 13, or a loss of supply event under clause 12.4;</w:t>
      </w:r>
    </w:p>
    <w:p>
      <w:pPr>
        <w:spacing w:after="80"/>
        <w:ind w:left="624" w:hanging="624"/>
        <w:jc w:val="both"/>
      </w:pPr>
      <w:r>
        <w:rPr>
          <w:rFonts w:ascii="Open Sans" w:hAnsi="Open Sans"/>
          <w:b/>
          <w:color w:val="191C4A"/>
          <w:sz w:val="21"/>
        </w:rPr>
        <w:t>7.4</w:t>
        <w:tab/>
      </w:r>
      <w:r>
        <w:rPr>
          <w:rFonts w:ascii="Open Sans" w:hAnsi="Open Sans"/>
          <w:b w:val="0"/>
          <w:i w:val="0"/>
          <w:sz w:val="21"/>
        </w:rPr>
        <w:t>any period caused by the customer failing to meet a dependency in clause 8, including load shedding at the customer's own premises where the customer has no backup power;</w:t>
      </w:r>
    </w:p>
    <w:p>
      <w:pPr>
        <w:spacing w:after="80"/>
        <w:ind w:left="624" w:hanging="624"/>
        <w:jc w:val="both"/>
      </w:pPr>
      <w:r>
        <w:rPr>
          <w:rFonts w:ascii="Open Sans" w:hAnsi="Open Sans"/>
          <w:b/>
          <w:color w:val="191C4A"/>
          <w:sz w:val="21"/>
        </w:rPr>
        <w:t>7.5</w:t>
        <w:tab/>
      </w:r>
      <w:r>
        <w:rPr>
          <w:rFonts w:ascii="Open Sans" w:hAnsi="Open Sans"/>
          <w:b w:val="0"/>
          <w:i w:val="0"/>
          <w:sz w:val="21"/>
        </w:rPr>
        <w:t>any period caused by a third party system or network that the service provider does not control and did not select, including a fibre break, an upstream network outage or a failure at a cloud provider, provided the service provider tells the customer promptly and does what it reasonably can to work around it;</w:t>
      </w:r>
    </w:p>
    <w:p>
      <w:pPr>
        <w:spacing w:after="80"/>
        <w:ind w:left="624" w:hanging="624"/>
        <w:jc w:val="both"/>
      </w:pPr>
      <w:r>
        <w:rPr>
          <w:rFonts w:ascii="Open Sans" w:hAnsi="Open Sans"/>
          <w:b/>
          <w:color w:val="191C4A"/>
          <w:sz w:val="21"/>
        </w:rPr>
        <w:t>7.6</w:t>
        <w:tab/>
      </w:r>
      <w:r>
        <w:rPr>
          <w:rFonts w:ascii="Open Sans" w:hAnsi="Open Sans"/>
          <w:b w:val="0"/>
          <w:i w:val="0"/>
          <w:sz w:val="21"/>
        </w:rPr>
        <w:t>any period caused by the customer's own change to its systems, made without telling the service provider; and</w:t>
      </w:r>
    </w:p>
    <w:p>
      <w:pPr>
        <w:spacing w:after="80"/>
        <w:ind w:left="624" w:hanging="624"/>
        <w:jc w:val="both"/>
      </w:pPr>
      <w:r>
        <w:rPr>
          <w:rFonts w:ascii="Open Sans" w:hAnsi="Open Sans"/>
          <w:b/>
          <w:color w:val="191C4A"/>
          <w:sz w:val="21"/>
        </w:rPr>
        <w:t>7.7</w:t>
        <w:tab/>
      </w:r>
      <w:r>
        <w:rPr>
          <w:rFonts w:ascii="Open Sans" w:hAnsi="Open Sans"/>
          <w:b w:val="0"/>
          <w:i w:val="0"/>
          <w:sz w:val="21"/>
        </w:rPr>
        <w:t>any period during which the customer's services are suspended for non-payment under clause 11.6.</w:t>
      </w:r>
    </w:p>
    <w:p>
      <w:pPr>
        <w:keepNext/>
        <w:spacing w:before="200" w:after="60"/>
      </w:pPr>
      <w:r>
        <w:rPr>
          <w:rFonts w:ascii="Montserrat" w:hAnsi="Montserrat"/>
          <w:b/>
          <w:color w:val="191C4A"/>
          <w:sz w:val="21"/>
        </w:rPr>
        <w:t>8. WHAT THE CUSTOMER MUST DO</w:t>
      </w:r>
    </w:p>
    <w:p>
      <w:pPr>
        <w:spacing w:after="80" w:before="0"/>
        <w:jc w:val="both"/>
      </w:pPr>
      <w:r>
        <w:rPr>
          <w:rFonts w:ascii="Open Sans" w:hAnsi="Open Sans"/>
          <w:b w:val="0"/>
          <w:i w:val="0"/>
          <w:sz w:val="21"/>
        </w:rPr>
        <w:t>Service levels are a two way promise. The service provider is not in breach where the customer has not done these things.</w:t>
      </w:r>
    </w:p>
    <w:p>
      <w:pPr>
        <w:spacing w:after="80"/>
        <w:ind w:left="624" w:hanging="624"/>
        <w:jc w:val="both"/>
      </w:pPr>
      <w:r>
        <w:rPr>
          <w:rFonts w:ascii="Open Sans" w:hAnsi="Open Sans"/>
          <w:b/>
          <w:color w:val="191C4A"/>
          <w:sz w:val="21"/>
        </w:rPr>
        <w:t>8.1</w:t>
        <w:tab/>
      </w:r>
      <w:r>
        <w:rPr>
          <w:rFonts w:ascii="Open Sans" w:hAnsi="Open Sans"/>
          <w:b w:val="0"/>
          <w:i w:val="0"/>
          <w:sz w:val="21"/>
        </w:rPr>
        <w:t>Log incidents promptly, on the agreed channel, with the information listed in Schedule B.</w:t>
      </w:r>
    </w:p>
    <w:p>
      <w:pPr>
        <w:spacing w:after="80"/>
        <w:ind w:left="624" w:hanging="624"/>
        <w:jc w:val="both"/>
      </w:pPr>
      <w:r>
        <w:rPr>
          <w:rFonts w:ascii="Open Sans" w:hAnsi="Open Sans"/>
          <w:b/>
          <w:color w:val="191C4A"/>
          <w:sz w:val="21"/>
        </w:rPr>
        <w:t>8.2</w:t>
        <w:tab/>
      </w:r>
      <w:r>
        <w:rPr>
          <w:rFonts w:ascii="Open Sans" w:hAnsi="Open Sans"/>
          <w:b w:val="0"/>
          <w:i w:val="0"/>
          <w:sz w:val="21"/>
        </w:rPr>
        <w:t>Give the service provider timely access to premises, systems, accounts and people, including out of hours access for a P1 incident.</w:t>
      </w:r>
    </w:p>
    <w:p>
      <w:pPr>
        <w:spacing w:after="80"/>
        <w:ind w:left="624" w:hanging="624"/>
        <w:jc w:val="both"/>
      </w:pPr>
      <w:r>
        <w:rPr>
          <w:rFonts w:ascii="Open Sans" w:hAnsi="Open Sans"/>
          <w:b/>
          <w:color w:val="191C4A"/>
          <w:sz w:val="21"/>
        </w:rPr>
        <w:t>8.3</w:t>
        <w:tab/>
      </w:r>
      <w:r>
        <w:rPr>
          <w:rFonts w:ascii="Open Sans" w:hAnsi="Open Sans"/>
          <w:b w:val="0"/>
          <w:i w:val="0"/>
          <w:sz w:val="21"/>
        </w:rPr>
        <w:t xml:space="preserve">Keep an up to date list of authorised contacts, and tell the service provider within </w:t>
      </w:r>
      <w:r>
        <w:rPr>
          <w:rFonts w:ascii="Open Sans" w:hAnsi="Open Sans"/>
          <w:b w:val="0"/>
          <w:i w:val="0"/>
          <w:color w:val="21759B"/>
          <w:sz w:val="21"/>
        </w:rPr>
        <w:t>[5]</w:t>
      </w:r>
      <w:r>
        <w:rPr>
          <w:rFonts w:ascii="Open Sans" w:hAnsi="Open Sans"/>
          <w:b w:val="0"/>
          <w:i w:val="0"/>
          <w:sz w:val="21"/>
        </w:rPr>
        <w:t xml:space="preserve"> business days of any change.</w:t>
      </w:r>
    </w:p>
    <w:p>
      <w:pPr>
        <w:spacing w:after="80"/>
        <w:ind w:left="624" w:hanging="624"/>
        <w:jc w:val="both"/>
      </w:pPr>
      <w:r>
        <w:rPr>
          <w:rFonts w:ascii="Open Sans" w:hAnsi="Open Sans"/>
          <w:b/>
          <w:color w:val="191C4A"/>
          <w:sz w:val="21"/>
        </w:rPr>
        <w:t>8.4</w:t>
        <w:tab/>
      </w:r>
      <w:r>
        <w:rPr>
          <w:rFonts w:ascii="Open Sans" w:hAnsi="Open Sans"/>
          <w:b w:val="0"/>
          <w:i w:val="0"/>
          <w:sz w:val="21"/>
        </w:rPr>
        <w:t>Maintain the hardware, network, power and third party software that sit outside the scope in Schedule A.</w:t>
      </w:r>
    </w:p>
    <w:p>
      <w:pPr>
        <w:spacing w:after="80"/>
        <w:ind w:left="624" w:hanging="624"/>
        <w:jc w:val="both"/>
      </w:pPr>
      <w:r>
        <w:rPr>
          <w:rFonts w:ascii="Open Sans" w:hAnsi="Open Sans"/>
          <w:b/>
          <w:color w:val="191C4A"/>
          <w:sz w:val="21"/>
        </w:rPr>
        <w:t>8.5</w:t>
        <w:tab/>
      </w:r>
      <w:r>
        <w:rPr>
          <w:rFonts w:ascii="Open Sans" w:hAnsi="Open Sans"/>
          <w:b w:val="0"/>
          <w:i w:val="0"/>
          <w:sz w:val="21"/>
        </w:rPr>
        <w:t>Tell the service provider before making any change to its environment that could affect the services.</w:t>
      </w:r>
    </w:p>
    <w:p>
      <w:pPr>
        <w:spacing w:after="80"/>
        <w:ind w:left="624" w:hanging="624"/>
        <w:jc w:val="both"/>
      </w:pPr>
      <w:r>
        <w:rPr>
          <w:rFonts w:ascii="Open Sans" w:hAnsi="Open Sans"/>
          <w:b/>
          <w:color w:val="191C4A"/>
          <w:sz w:val="21"/>
        </w:rPr>
        <w:t>8.6</w:t>
        <w:tab/>
      </w:r>
      <w:r>
        <w:rPr>
          <w:rFonts w:ascii="Open Sans" w:hAnsi="Open Sans"/>
          <w:b w:val="0"/>
          <w:i w:val="0"/>
          <w:sz w:val="21"/>
        </w:rPr>
        <w:t>Keep access credentials secure, and report any suspected security breach immediately.</w:t>
      </w:r>
    </w:p>
    <w:p>
      <w:pPr>
        <w:spacing w:after="80"/>
        <w:ind w:left="624" w:hanging="624"/>
        <w:jc w:val="both"/>
      </w:pPr>
      <w:r>
        <w:rPr>
          <w:rFonts w:ascii="Open Sans" w:hAnsi="Open Sans"/>
          <w:b/>
          <w:color w:val="191C4A"/>
          <w:sz w:val="21"/>
        </w:rPr>
        <w:t>8.7</w:t>
        <w:tab/>
      </w:r>
      <w:r>
        <w:rPr>
          <w:rFonts w:ascii="Open Sans" w:hAnsi="Open Sans"/>
          <w:b w:val="0"/>
          <w:i w:val="0"/>
          <w:sz w:val="21"/>
        </w:rPr>
        <w:t>Approve change requests and sign off deliverables within the agreed times.</w:t>
      </w:r>
    </w:p>
    <w:p>
      <w:pPr>
        <w:spacing w:after="80"/>
        <w:ind w:left="624" w:hanging="624"/>
        <w:jc w:val="both"/>
      </w:pPr>
      <w:r>
        <w:rPr>
          <w:rFonts w:ascii="Open Sans" w:hAnsi="Open Sans"/>
          <w:b/>
          <w:color w:val="191C4A"/>
          <w:sz w:val="21"/>
        </w:rPr>
        <w:t>8.8</w:t>
        <w:tab/>
      </w:r>
      <w:r>
        <w:rPr>
          <w:rFonts w:ascii="Open Sans" w:hAnsi="Open Sans"/>
          <w:b w:val="0"/>
          <w:i w:val="0"/>
          <w:sz w:val="21"/>
        </w:rPr>
        <w:t>Pay undisputed invoices on time.</w:t>
      </w:r>
    </w:p>
    <w:p>
      <w:pPr>
        <w:keepNext/>
        <w:spacing w:before="200" w:after="60"/>
      </w:pPr>
      <w:r>
        <w:rPr>
          <w:rFonts w:ascii="Montserrat" w:hAnsi="Montserrat"/>
          <w:b/>
          <w:color w:val="191C4A"/>
          <w:sz w:val="21"/>
        </w:rPr>
        <w:t>9. PLANNED AND EMERGENCY MAINTENANCE</w:t>
      </w:r>
    </w:p>
    <w:p>
      <w:pPr>
        <w:spacing w:after="80"/>
        <w:ind w:left="624" w:hanging="624"/>
        <w:jc w:val="both"/>
      </w:pPr>
      <w:r>
        <w:rPr>
          <w:rFonts w:ascii="Open Sans" w:hAnsi="Open Sans"/>
          <w:b/>
          <w:color w:val="191C4A"/>
          <w:sz w:val="21"/>
        </w:rPr>
        <w:t>9.1</w:t>
        <w:tab/>
      </w:r>
      <w:r>
        <w:rPr>
          <w:rFonts w:ascii="Open Sans" w:hAnsi="Open Sans"/>
          <w:b w:val="0"/>
          <w:i w:val="0"/>
          <w:sz w:val="21"/>
        </w:rPr>
        <w:t xml:space="preserve">The service provider will carry out planned maintenance in the agreed window, being </w:t>
      </w:r>
      <w:r>
        <w:rPr>
          <w:rFonts w:ascii="Open Sans" w:hAnsi="Open Sans"/>
          <w:b w:val="0"/>
          <w:i w:val="0"/>
          <w:color w:val="21759B"/>
          <w:sz w:val="21"/>
        </w:rPr>
        <w:t>[Saturdays between 22:00 and 02:00]</w:t>
      </w:r>
      <w:r>
        <w:rPr>
          <w:rFonts w:ascii="Open Sans" w:hAnsi="Open Sans"/>
          <w:b w:val="0"/>
          <w:i w:val="0"/>
          <w:sz w:val="21"/>
        </w:rPr>
        <w:t>.</w:t>
      </w:r>
    </w:p>
    <w:p>
      <w:pPr>
        <w:spacing w:after="80"/>
        <w:ind w:left="624" w:hanging="624"/>
        <w:jc w:val="both"/>
      </w:pPr>
      <w:r>
        <w:rPr>
          <w:rFonts w:ascii="Open Sans" w:hAnsi="Open Sans"/>
          <w:b/>
          <w:color w:val="191C4A"/>
          <w:sz w:val="21"/>
        </w:rPr>
        <w:t>9.2</w:t>
        <w:tab/>
      </w:r>
      <w:r>
        <w:rPr>
          <w:rFonts w:ascii="Open Sans" w:hAnsi="Open Sans"/>
          <w:b w:val="0"/>
          <w:i w:val="0"/>
          <w:sz w:val="21"/>
        </w:rPr>
        <w:t xml:space="preserve">The service provider will notify the customer of planned maintenance at least </w:t>
      </w:r>
      <w:r>
        <w:rPr>
          <w:rFonts w:ascii="Open Sans" w:hAnsi="Open Sans"/>
          <w:b w:val="0"/>
          <w:i w:val="0"/>
          <w:color w:val="21759B"/>
          <w:sz w:val="21"/>
        </w:rPr>
        <w:t>[72]</w:t>
      </w:r>
      <w:r>
        <w:rPr>
          <w:rFonts w:ascii="Open Sans" w:hAnsi="Open Sans"/>
          <w:b w:val="0"/>
          <w:i w:val="0"/>
          <w:sz w:val="21"/>
        </w:rPr>
        <w:t xml:space="preserve"> hours in advance, in writing, saying what will be affected and how long it is expected to take.</w:t>
      </w:r>
    </w:p>
    <w:p>
      <w:pPr>
        <w:spacing w:after="80"/>
        <w:ind w:left="624" w:hanging="624"/>
        <w:jc w:val="both"/>
      </w:pPr>
      <w:r>
        <w:rPr>
          <w:rFonts w:ascii="Open Sans" w:hAnsi="Open Sans"/>
          <w:b/>
          <w:color w:val="191C4A"/>
          <w:sz w:val="21"/>
        </w:rPr>
        <w:t>9.3</w:t>
        <w:tab/>
      </w:r>
      <w:r>
        <w:rPr>
          <w:rFonts w:ascii="Open Sans" w:hAnsi="Open Sans"/>
          <w:b w:val="0"/>
          <w:i w:val="0"/>
          <w:sz w:val="21"/>
        </w:rPr>
        <w:t>Planned maintenance is excluded from downtime, provided the notice was given and the work is completed within the notified window. Maintenance that overruns the notified window counts as downtime from the moment it overruns.</w:t>
      </w:r>
    </w:p>
    <w:p>
      <w:pPr>
        <w:spacing w:after="80"/>
        <w:ind w:left="624" w:hanging="624"/>
        <w:jc w:val="both"/>
      </w:pPr>
      <w:r>
        <w:rPr>
          <w:rFonts w:ascii="Open Sans" w:hAnsi="Open Sans"/>
          <w:b/>
          <w:color w:val="191C4A"/>
          <w:sz w:val="21"/>
        </w:rPr>
        <w:t>9.4</w:t>
        <w:tab/>
      </w:r>
      <w:r>
        <w:rPr>
          <w:rFonts w:ascii="Open Sans" w:hAnsi="Open Sans"/>
          <w:b w:val="0"/>
          <w:i w:val="0"/>
          <w:sz w:val="21"/>
        </w:rPr>
        <w:t xml:space="preserve">Where emergency maintenance is needed to prevent a major incident, a data loss or a security breach, the service provider may proceed without the full notice period, but must tell the customer before it starts where that is at all possible, keep the window as short as possible, and provide a written report within </w:t>
      </w:r>
      <w:r>
        <w:rPr>
          <w:rFonts w:ascii="Open Sans" w:hAnsi="Open Sans"/>
          <w:b w:val="0"/>
          <w:i w:val="0"/>
          <w:color w:val="21759B"/>
          <w:sz w:val="21"/>
        </w:rPr>
        <w:t>[2]</w:t>
      </w:r>
      <w:r>
        <w:rPr>
          <w:rFonts w:ascii="Open Sans" w:hAnsi="Open Sans"/>
          <w:b w:val="0"/>
          <w:i w:val="0"/>
          <w:sz w:val="21"/>
        </w:rPr>
        <w:t xml:space="preserve"> business days.</w:t>
      </w:r>
    </w:p>
    <w:p>
      <w:pPr>
        <w:spacing w:after="80"/>
        <w:ind w:left="624" w:hanging="624"/>
        <w:jc w:val="both"/>
      </w:pPr>
      <w:r>
        <w:rPr>
          <w:rFonts w:ascii="Open Sans" w:hAnsi="Open Sans"/>
          <w:b/>
          <w:color w:val="191C4A"/>
          <w:sz w:val="21"/>
        </w:rPr>
        <w:t>9.5</w:t>
        <w:tab/>
      </w:r>
      <w:r>
        <w:rPr>
          <w:rFonts w:ascii="Open Sans" w:hAnsi="Open Sans"/>
          <w:b w:val="0"/>
          <w:i w:val="0"/>
          <w:sz w:val="21"/>
        </w:rPr>
        <w:t xml:space="preserve">Planned maintenance may not exceed </w:t>
      </w:r>
      <w:r>
        <w:rPr>
          <w:rFonts w:ascii="Open Sans" w:hAnsi="Open Sans"/>
          <w:b w:val="0"/>
          <w:i w:val="0"/>
          <w:color w:val="21759B"/>
          <w:sz w:val="21"/>
        </w:rPr>
        <w:t>[4]</w:t>
      </w:r>
      <w:r>
        <w:rPr>
          <w:rFonts w:ascii="Open Sans" w:hAnsi="Open Sans"/>
          <w:b w:val="0"/>
          <w:i w:val="0"/>
          <w:sz w:val="21"/>
        </w:rPr>
        <w:t xml:space="preserve"> hours in any calendar month without the customer's written agreement.</w:t>
      </w:r>
    </w:p>
    <w:p>
      <w:pPr>
        <w:keepNext/>
        <w:spacing w:before="200" w:after="60"/>
      </w:pPr>
      <w:r>
        <w:rPr>
          <w:rFonts w:ascii="Montserrat" w:hAnsi="Montserrat"/>
          <w:b/>
          <w:color w:val="191C4A"/>
          <w:sz w:val="21"/>
        </w:rPr>
        <w:t>10. SERVICE CREDITS</w:t>
      </w:r>
    </w:p>
    <w:p>
      <w:pPr>
        <w:spacing w:after="80" w:before="0"/>
        <w:jc w:val="both"/>
      </w:pPr>
      <w:r>
        <w:rPr>
          <w:rFonts w:ascii="Open Sans" w:hAnsi="Open Sans"/>
          <w:b w:val="0"/>
          <w:i w:val="0"/>
          <w:sz w:val="21"/>
        </w:rPr>
        <w:t>A service credit is an agreed reduction of the monthly fee. It is not damages and it is not an admission of liability.</w:t>
      </w:r>
    </w:p>
    <w:tbl>
      <w:tblPr>
        <w:tblW w:type="dxa" w:w="9025"/>
        <w:jc w:val="center"/>
        <w:tblLayout w:type="fixed"/>
        <w:tblLook w:firstColumn="1" w:firstRow="1" w:lastColumn="0" w:lastRow="0" w:noHBand="0" w:noVBand="1" w:val="04A0"/>
      </w:tblPr>
      <w:tblGrid>
        <w:gridCol w:w="2346"/>
        <w:gridCol w:w="3610"/>
        <w:gridCol w:w="3068"/>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WAS MISSED</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FAR IT WAS MISSED</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CREDIT AGAINST THE MONTHLY FEE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Availability</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Between 0.5 and 1.0 percentage points below target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 of the monthly fee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Availability</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Between 1.0 and 2.0 percentage points below target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 of the monthly fee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Availability</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More than 2.0 percentage points below target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20% of the monthly fee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P1 response time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Missed once in the month</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2% of the monthly fee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P1 response time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Missed three or more times in the month</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5% of the monthly fee for each breach</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P1 resolution time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Missed once in the month</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3% of the monthly fee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P1 resolution time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Missed three or more times in the month</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7% of the monthly fee for each breach</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monthly report</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Not delivered by the </w:t>
            </w:r>
            <w:r>
              <w:rPr>
                <w:rFonts w:ascii="Open Sans" w:hAnsi="Open Sans"/>
                <w:b w:val="0"/>
                <w:i w:val="0"/>
                <w:color w:val="21759B"/>
                <w:sz w:val="18"/>
              </w:rPr>
              <w:t>[5th]</w:t>
            </w:r>
            <w:r>
              <w:rPr>
                <w:rFonts w:ascii="Open Sans" w:hAnsi="Open Sans"/>
                <w:b w:val="0"/>
                <w:i w:val="0"/>
                <w:sz w:val="18"/>
              </w:rPr>
              <w:t xml:space="preserve"> business day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 of the monthly fee</w:t>
            </w:r>
          </w:p>
        </w:tc>
      </w:tr>
    </w:tbl>
    <w:p>
      <w:pPr>
        <w:spacing w:after="80"/>
        <w:ind w:left="624" w:hanging="624"/>
        <w:jc w:val="both"/>
      </w:pPr>
      <w:r>
        <w:rPr>
          <w:rFonts w:ascii="Open Sans" w:hAnsi="Open Sans"/>
          <w:b/>
          <w:color w:val="191C4A"/>
          <w:sz w:val="21"/>
        </w:rPr>
        <w:t>10.1</w:t>
        <w:tab/>
      </w:r>
      <w:r>
        <w:rPr>
          <w:rFonts w:ascii="Open Sans" w:hAnsi="Open Sans"/>
          <w:b w:val="0"/>
          <w:i w:val="0"/>
          <w:sz w:val="21"/>
        </w:rPr>
        <w:t xml:space="preserve">The customer must claim a service credit in writing within </w:t>
      </w:r>
      <w:r>
        <w:rPr>
          <w:rFonts w:ascii="Open Sans" w:hAnsi="Open Sans"/>
          <w:b w:val="0"/>
          <w:i w:val="0"/>
          <w:color w:val="21759B"/>
          <w:sz w:val="21"/>
        </w:rPr>
        <w:t>[30]</w:t>
      </w:r>
      <w:r>
        <w:rPr>
          <w:rFonts w:ascii="Open Sans" w:hAnsi="Open Sans"/>
          <w:b w:val="0"/>
          <w:i w:val="0"/>
          <w:sz w:val="21"/>
        </w:rPr>
        <w:t xml:space="preserve"> days of the end of the month in which the target was missed.</w:t>
      </w:r>
    </w:p>
    <w:p>
      <w:pPr>
        <w:spacing w:after="80"/>
        <w:ind w:left="624" w:hanging="624"/>
        <w:jc w:val="both"/>
      </w:pPr>
      <w:r>
        <w:rPr>
          <w:rFonts w:ascii="Open Sans" w:hAnsi="Open Sans"/>
          <w:b/>
          <w:color w:val="191C4A"/>
          <w:sz w:val="21"/>
        </w:rPr>
        <w:t>10.2</w:t>
        <w:tab/>
      </w:r>
      <w:r>
        <w:rPr>
          <w:rFonts w:ascii="Open Sans" w:hAnsi="Open Sans"/>
          <w:b w:val="0"/>
          <w:i w:val="0"/>
          <w:sz w:val="21"/>
        </w:rPr>
        <w:t xml:space="preserve">Total service credits in any calendar month are capped at </w:t>
      </w:r>
      <w:r>
        <w:rPr>
          <w:rFonts w:ascii="Open Sans" w:hAnsi="Open Sans"/>
          <w:b w:val="0"/>
          <w:i w:val="0"/>
          <w:color w:val="21759B"/>
          <w:sz w:val="21"/>
        </w:rPr>
        <w:t>[30]</w:t>
      </w:r>
      <w:r>
        <w:rPr>
          <w:rFonts w:ascii="Open Sans" w:hAnsi="Open Sans"/>
          <w:b w:val="0"/>
          <w:i w:val="0"/>
          <w:sz w:val="21"/>
        </w:rPr>
        <w:t>% of that month's fee.</w:t>
      </w:r>
    </w:p>
    <w:p>
      <w:pPr>
        <w:spacing w:after="80"/>
        <w:ind w:left="624" w:hanging="624"/>
        <w:jc w:val="both"/>
      </w:pPr>
      <w:r>
        <w:rPr>
          <w:rFonts w:ascii="Open Sans" w:hAnsi="Open Sans"/>
          <w:b/>
          <w:color w:val="191C4A"/>
          <w:sz w:val="21"/>
        </w:rPr>
        <w:t>10.3</w:t>
        <w:tab/>
      </w:r>
      <w:r>
        <w:rPr>
          <w:rFonts w:ascii="Open Sans" w:hAnsi="Open Sans"/>
          <w:b w:val="0"/>
          <w:i w:val="0"/>
          <w:sz w:val="21"/>
        </w:rPr>
        <w:t xml:space="preserve">Service credits are applied as a deduction from the next invoice, supported by a credit note issued within </w:t>
      </w:r>
      <w:r>
        <w:rPr>
          <w:rFonts w:ascii="Open Sans" w:hAnsi="Open Sans"/>
          <w:b w:val="0"/>
          <w:i w:val="0"/>
          <w:color w:val="21759B"/>
          <w:sz w:val="21"/>
        </w:rPr>
        <w:t>[5]</w:t>
      </w:r>
      <w:r>
        <w:rPr>
          <w:rFonts w:ascii="Open Sans" w:hAnsi="Open Sans"/>
          <w:b w:val="0"/>
          <w:i w:val="0"/>
          <w:sz w:val="21"/>
        </w:rPr>
        <w:t xml:space="preserve"> business days of the credit being agreed. They are not paid out in cash.</w:t>
      </w:r>
    </w:p>
    <w:p>
      <w:pPr>
        <w:spacing w:after="80"/>
        <w:ind w:left="624" w:hanging="624"/>
        <w:jc w:val="both"/>
      </w:pPr>
      <w:r>
        <w:rPr>
          <w:rFonts w:ascii="Open Sans" w:hAnsi="Open Sans"/>
          <w:b/>
          <w:color w:val="191C4A"/>
          <w:sz w:val="21"/>
        </w:rPr>
        <w:t>10.4</w:t>
        <w:tab/>
      </w:r>
      <w:r>
        <w:rPr>
          <w:rFonts w:ascii="Open Sans" w:hAnsi="Open Sans"/>
          <w:b w:val="0"/>
          <w:i w:val="0"/>
          <w:sz w:val="21"/>
        </w:rPr>
        <w:t>Service credits are the customer's primary remedy for underperformance. They do not prevent the customer from cancelling for a material breach under clause 14.4 or 14.5, or from claiming damages where the underperformance is a material breach and the customer has suffered a loss beyond the credit.</w:t>
      </w:r>
    </w:p>
    <w:p>
      <w:pPr>
        <w:keepNext/>
        <w:spacing w:before="200" w:after="60"/>
      </w:pPr>
      <w:r>
        <w:rPr>
          <w:rFonts w:ascii="Montserrat" w:hAnsi="Montserrat"/>
          <w:b/>
          <w:color w:val="191C4A"/>
          <w:sz w:val="21"/>
        </w:rPr>
        <w:t>11. CHARGES, INVOICING AND PAYMENT</w:t>
      </w:r>
    </w:p>
    <w:p>
      <w:pPr>
        <w:spacing w:after="80"/>
        <w:ind w:left="624" w:hanging="624"/>
        <w:jc w:val="both"/>
      </w:pPr>
      <w:r>
        <w:rPr>
          <w:rFonts w:ascii="Open Sans" w:hAnsi="Open Sans"/>
          <w:b/>
          <w:color w:val="191C4A"/>
          <w:sz w:val="21"/>
        </w:rPr>
        <w:t>11.1</w:t>
        <w:tab/>
      </w:r>
      <w:r>
        <w:rPr>
          <w:rFonts w:ascii="Open Sans" w:hAnsi="Open Sans"/>
          <w:b w:val="0"/>
          <w:i w:val="0"/>
          <w:sz w:val="21"/>
        </w:rPr>
        <w:t>The customer pays the fees in Schedule A. Fees exclude VAT. Where the service provider is registered for VAT, VAT at 15% is added and a valid tax invoice is issued.</w:t>
      </w:r>
    </w:p>
    <w:p>
      <w:pPr>
        <w:spacing w:after="80"/>
        <w:ind w:left="624" w:hanging="624"/>
        <w:jc w:val="both"/>
      </w:pPr>
      <w:r>
        <w:rPr>
          <w:rFonts w:ascii="Open Sans" w:hAnsi="Open Sans"/>
          <w:b/>
          <w:color w:val="191C4A"/>
          <w:sz w:val="21"/>
        </w:rPr>
        <w:t>11.2</w:t>
        <w:tab/>
      </w:r>
      <w:r>
        <w:rPr>
          <w:rFonts w:ascii="Open Sans" w:hAnsi="Open Sans"/>
          <w:b w:val="0"/>
          <w:i w:val="0"/>
          <w:sz w:val="21"/>
        </w:rPr>
        <w:t xml:space="preserve">The service provider invoices </w:t>
      </w:r>
      <w:r>
        <w:rPr>
          <w:rFonts w:ascii="Open Sans" w:hAnsi="Open Sans"/>
          <w:b w:val="0"/>
          <w:i w:val="0"/>
          <w:color w:val="21759B"/>
          <w:sz w:val="21"/>
        </w:rPr>
        <w:t>[monthly in advance]</w:t>
      </w:r>
      <w:r>
        <w:rPr>
          <w:rFonts w:ascii="Open Sans" w:hAnsi="Open Sans"/>
          <w:b w:val="0"/>
          <w:i w:val="0"/>
          <w:sz w:val="21"/>
        </w:rPr>
        <w:t xml:space="preserve">. The customer pays undisputed invoices within </w:t>
      </w:r>
      <w:r>
        <w:rPr>
          <w:rFonts w:ascii="Open Sans" w:hAnsi="Open Sans"/>
          <w:b w:val="0"/>
          <w:i w:val="0"/>
          <w:color w:val="21759B"/>
          <w:sz w:val="21"/>
        </w:rPr>
        <w:t>[30]</w:t>
      </w:r>
      <w:r>
        <w:rPr>
          <w:rFonts w:ascii="Open Sans" w:hAnsi="Open Sans"/>
          <w:b w:val="0"/>
          <w:i w:val="0"/>
          <w:sz w:val="21"/>
        </w:rPr>
        <w:t xml:space="preserve"> days of receiving a valid invoice.</w:t>
      </w:r>
    </w:p>
    <w:p>
      <w:pPr>
        <w:spacing w:after="80"/>
        <w:ind w:left="624" w:hanging="624"/>
        <w:jc w:val="both"/>
      </w:pPr>
      <w:r>
        <w:rPr>
          <w:rFonts w:ascii="Open Sans" w:hAnsi="Open Sans"/>
          <w:b/>
          <w:color w:val="191C4A"/>
          <w:sz w:val="21"/>
        </w:rPr>
        <w:t>11.3</w:t>
        <w:tab/>
      </w:r>
      <w:r>
        <w:rPr>
          <w:rFonts w:ascii="Open Sans" w:hAnsi="Open Sans"/>
          <w:b w:val="0"/>
          <w:i w:val="0"/>
          <w:sz w:val="21"/>
        </w:rPr>
        <w:t xml:space="preserve">If the customer disputes an invoice it must say so in writing within </w:t>
      </w:r>
      <w:r>
        <w:rPr>
          <w:rFonts w:ascii="Open Sans" w:hAnsi="Open Sans"/>
          <w:b w:val="0"/>
          <w:i w:val="0"/>
          <w:color w:val="21759B"/>
          <w:sz w:val="21"/>
        </w:rPr>
        <w:t>[10]</w:t>
      </w:r>
      <w:r>
        <w:rPr>
          <w:rFonts w:ascii="Open Sans" w:hAnsi="Open Sans"/>
          <w:b w:val="0"/>
          <w:i w:val="0"/>
          <w:sz w:val="21"/>
        </w:rPr>
        <w:t xml:space="preserve"> business days, with reasons, and must pay the undisputed part on time.</w:t>
      </w:r>
    </w:p>
    <w:p>
      <w:pPr>
        <w:spacing w:after="80"/>
        <w:ind w:left="624" w:hanging="624"/>
        <w:jc w:val="both"/>
      </w:pPr>
      <w:r>
        <w:rPr>
          <w:rFonts w:ascii="Open Sans" w:hAnsi="Open Sans"/>
          <w:b/>
          <w:color w:val="191C4A"/>
          <w:sz w:val="21"/>
        </w:rPr>
        <w:t>11.4</w:t>
        <w:tab/>
      </w:r>
      <w:r>
        <w:rPr>
          <w:rFonts w:ascii="Open Sans" w:hAnsi="Open Sans"/>
          <w:b w:val="0"/>
          <w:i w:val="0"/>
          <w:sz w:val="21"/>
        </w:rPr>
        <w:t xml:space="preserve">The service provider may increase the fee once a year, on </w:t>
      </w:r>
      <w:r>
        <w:rPr>
          <w:rFonts w:ascii="Open Sans" w:hAnsi="Open Sans"/>
          <w:b w:val="0"/>
          <w:i w:val="0"/>
          <w:color w:val="21759B"/>
          <w:sz w:val="21"/>
        </w:rPr>
        <w:t>[30]</w:t>
      </w:r>
      <w:r>
        <w:rPr>
          <w:rFonts w:ascii="Open Sans" w:hAnsi="Open Sans"/>
          <w:b w:val="0"/>
          <w:i w:val="0"/>
          <w:sz w:val="21"/>
        </w:rPr>
        <w:t xml:space="preserve"> days' written notice, by no more than the change in the Consumer Price Index published by Statistics South Africa for the preceding 12 months. Any larger increase requires the customer's written acceptance, and if the customer does not accept it the customer may cancel on </w:t>
      </w:r>
      <w:r>
        <w:rPr>
          <w:rFonts w:ascii="Open Sans" w:hAnsi="Open Sans"/>
          <w:b w:val="0"/>
          <w:i w:val="0"/>
          <w:color w:val="21759B"/>
          <w:sz w:val="21"/>
        </w:rPr>
        <w:t>[30]</w:t>
      </w:r>
      <w:r>
        <w:rPr>
          <w:rFonts w:ascii="Open Sans" w:hAnsi="Open Sans"/>
          <w:b w:val="0"/>
          <w:i w:val="0"/>
          <w:sz w:val="21"/>
        </w:rPr>
        <w:t xml:space="preserve"> days' notice without penalty.</w:t>
      </w:r>
    </w:p>
    <w:p>
      <w:pPr>
        <w:spacing w:after="80"/>
        <w:ind w:left="624" w:hanging="624"/>
        <w:jc w:val="both"/>
      </w:pPr>
      <w:r>
        <w:rPr>
          <w:rFonts w:ascii="Open Sans" w:hAnsi="Open Sans"/>
          <w:b/>
          <w:color w:val="191C4A"/>
          <w:sz w:val="21"/>
        </w:rPr>
        <w:t>11.5</w:t>
        <w:tab/>
      </w:r>
      <w:r>
        <w:rPr>
          <w:rFonts w:ascii="Open Sans" w:hAnsi="Open Sans"/>
          <w:b w:val="0"/>
          <w:i w:val="0"/>
          <w:sz w:val="21"/>
        </w:rPr>
        <w:t xml:space="preserve">Interest on an overdue undisputed invoice runs at </w:t>
      </w:r>
      <w:r>
        <w:rPr>
          <w:rFonts w:ascii="Open Sans" w:hAnsi="Open Sans"/>
          <w:b w:val="0"/>
          <w:i w:val="0"/>
          <w:color w:val="21759B"/>
          <w:sz w:val="21"/>
        </w:rPr>
        <w:t>[2]</w:t>
      </w:r>
      <w:r>
        <w:rPr>
          <w:rFonts w:ascii="Open Sans" w:hAnsi="Open Sans"/>
          <w:b w:val="0"/>
          <w:i w:val="0"/>
          <w:sz w:val="21"/>
        </w:rPr>
        <w:t>% per month from the due date. That is the maximum the National Credit Act permits on incidental credit. A section 129 notice must be delivered before the service provider issues summons on the debt.</w:t>
      </w:r>
    </w:p>
    <w:p>
      <w:pPr>
        <w:spacing w:after="80"/>
        <w:ind w:left="624" w:hanging="624"/>
        <w:jc w:val="both"/>
      </w:pPr>
      <w:r>
        <w:rPr>
          <w:rFonts w:ascii="Open Sans" w:hAnsi="Open Sans"/>
          <w:b/>
          <w:color w:val="191C4A"/>
          <w:sz w:val="21"/>
        </w:rPr>
        <w:t>11.6</w:t>
        <w:tab/>
      </w:r>
      <w:r>
        <w:rPr>
          <w:rFonts w:ascii="Open Sans" w:hAnsi="Open Sans"/>
          <w:b w:val="0"/>
          <w:i w:val="0"/>
          <w:sz w:val="21"/>
        </w:rPr>
        <w:t xml:space="preserve">The service provider may suspend non-critical services where an undisputed invoice is more than </w:t>
      </w:r>
      <w:r>
        <w:rPr>
          <w:rFonts w:ascii="Open Sans" w:hAnsi="Open Sans"/>
          <w:b w:val="0"/>
          <w:i w:val="0"/>
          <w:color w:val="21759B"/>
          <w:sz w:val="21"/>
        </w:rPr>
        <w:t>[30]</w:t>
      </w:r>
      <w:r>
        <w:rPr>
          <w:rFonts w:ascii="Open Sans" w:hAnsi="Open Sans"/>
          <w:b w:val="0"/>
          <w:i w:val="0"/>
          <w:sz w:val="21"/>
        </w:rPr>
        <w:t xml:space="preserve"> days overdue, on </w:t>
      </w:r>
      <w:r>
        <w:rPr>
          <w:rFonts w:ascii="Open Sans" w:hAnsi="Open Sans"/>
          <w:b w:val="0"/>
          <w:i w:val="0"/>
          <w:color w:val="21759B"/>
          <w:sz w:val="21"/>
        </w:rPr>
        <w:t>[5]</w:t>
      </w:r>
      <w:r>
        <w:rPr>
          <w:rFonts w:ascii="Open Sans" w:hAnsi="Open Sans"/>
          <w:b w:val="0"/>
          <w:i w:val="0"/>
          <w:sz w:val="21"/>
        </w:rPr>
        <w:t xml:space="preserve"> business days' written notice. Services that affect safety or security may only be suspended on </w:t>
      </w:r>
      <w:r>
        <w:rPr>
          <w:rFonts w:ascii="Open Sans" w:hAnsi="Open Sans"/>
          <w:b w:val="0"/>
          <w:i w:val="0"/>
          <w:color w:val="21759B"/>
          <w:sz w:val="21"/>
        </w:rPr>
        <w:t>[14]</w:t>
      </w:r>
      <w:r>
        <w:rPr>
          <w:rFonts w:ascii="Open Sans" w:hAnsi="Open Sans"/>
          <w:b w:val="0"/>
          <w:i w:val="0"/>
          <w:sz w:val="21"/>
        </w:rPr>
        <w:t xml:space="preserve"> days' written notice. Service levels and service credits do not apply during a suspension.</w:t>
      </w:r>
    </w:p>
    <w:p>
      <w:pPr>
        <w:keepNext/>
        <w:spacing w:before="200" w:after="60"/>
      </w:pPr>
      <w:r>
        <w:rPr>
          <w:rFonts w:ascii="Montserrat" w:hAnsi="Montserrat"/>
          <w:b/>
          <w:color w:val="191C4A"/>
          <w:sz w:val="21"/>
        </w:rPr>
        <w:t>12. LOAD SHEDDING AND POWER INTERRUPTIONS</w:t>
      </w:r>
    </w:p>
    <w:p>
      <w:pPr>
        <w:spacing w:after="80" w:before="0"/>
        <w:jc w:val="both"/>
      </w:pPr>
      <w:r>
        <w:rPr>
          <w:rFonts w:ascii="Open Sans" w:hAnsi="Open Sans"/>
          <w:b w:val="0"/>
          <w:i w:val="0"/>
          <w:sz w:val="21"/>
        </w:rPr>
        <w:t>Load shedding is a normal operating condition in South Africa, not an act of God. This clause says exactly who carries it, so that nobody has to argue about it at the end of a bad month.</w:t>
      </w:r>
    </w:p>
    <w:p>
      <w:pPr>
        <w:spacing w:after="80"/>
        <w:ind w:left="624" w:hanging="624"/>
        <w:jc w:val="both"/>
      </w:pPr>
      <w:r>
        <w:rPr>
          <w:rFonts w:ascii="Open Sans" w:hAnsi="Open Sans"/>
          <w:b/>
          <w:color w:val="191C4A"/>
          <w:sz w:val="21"/>
        </w:rPr>
        <w:t>12.1</w:t>
        <w:tab/>
      </w:r>
      <w:r>
        <w:rPr>
          <w:rFonts w:ascii="Open Sans" w:hAnsi="Open Sans"/>
          <w:b w:val="0"/>
          <w:i w:val="0"/>
          <w:sz w:val="21"/>
        </w:rPr>
        <w:t>Announced or scheduled load shedding is foreseeable. It is NOT a force majeure event and it does not excuse either party from performing. A party may not rely on load shedding that appeared on the published Eskom or municipal schedule for its area as a reason for missing a service level, a delivery or a payment.</w:t>
      </w:r>
    </w:p>
    <w:p>
      <w:pPr>
        <w:spacing w:after="80"/>
        <w:ind w:left="624" w:hanging="624"/>
        <w:jc w:val="both"/>
      </w:pPr>
      <w:r>
        <w:rPr>
          <w:rFonts w:ascii="Open Sans" w:hAnsi="Open Sans"/>
          <w:b/>
          <w:color w:val="191C4A"/>
          <w:sz w:val="21"/>
        </w:rPr>
        <w:t>12.2</w:t>
        <w:tab/>
      </w:r>
      <w:r>
        <w:rPr>
          <w:rFonts w:ascii="Open Sans" w:hAnsi="Open Sans"/>
          <w:b w:val="0"/>
          <w:i w:val="0"/>
          <w:sz w:val="21"/>
        </w:rPr>
        <w:t xml:space="preserve">The service provider will keep its own operations running through scheduled load shedding, by means of an uninterruptible power supply and inverter with at least </w:t>
      </w:r>
      <w:r>
        <w:rPr>
          <w:rFonts w:ascii="Open Sans" w:hAnsi="Open Sans"/>
          <w:b w:val="0"/>
          <w:i w:val="0"/>
          <w:color w:val="21759B"/>
          <w:sz w:val="21"/>
        </w:rPr>
        <w:t>[4]</w:t>
      </w:r>
      <w:r>
        <w:rPr>
          <w:rFonts w:ascii="Open Sans" w:hAnsi="Open Sans"/>
          <w:b w:val="0"/>
          <w:i w:val="0"/>
          <w:sz w:val="21"/>
        </w:rPr>
        <w:t xml:space="preserve"> hours of capacity, a generator, and a mobile data failover for connectivity, and will carry the cost of that equipment and its fuel as part of the fee.</w:t>
      </w:r>
    </w:p>
    <w:p>
      <w:pPr>
        <w:spacing w:after="80"/>
        <w:ind w:left="624" w:hanging="624"/>
        <w:jc w:val="both"/>
      </w:pPr>
      <w:r>
        <w:rPr>
          <w:rFonts w:ascii="Open Sans" w:hAnsi="Open Sans"/>
          <w:b/>
          <w:color w:val="191C4A"/>
          <w:sz w:val="21"/>
        </w:rPr>
        <w:t>12.3</w:t>
        <w:tab/>
      </w:r>
      <w:r>
        <w:rPr>
          <w:rFonts w:ascii="Open Sans" w:hAnsi="Open Sans"/>
          <w:b w:val="0"/>
          <w:i w:val="0"/>
          <w:sz w:val="21"/>
        </w:rPr>
        <w:t>The customer is responsible for power and connectivity at its own premises. Where the services are unavailable at the customer's site only because the customer has no power or no backup power, that period is excluded from downtime under clause 7.4 and no service credit is due.</w:t>
      </w:r>
    </w:p>
    <w:p>
      <w:pPr>
        <w:spacing w:after="80"/>
        <w:ind w:left="624" w:hanging="624"/>
        <w:jc w:val="both"/>
      </w:pPr>
      <w:r>
        <w:rPr>
          <w:rFonts w:ascii="Open Sans" w:hAnsi="Open Sans"/>
          <w:b/>
          <w:color w:val="191C4A"/>
          <w:sz w:val="21"/>
        </w:rPr>
        <w:t>12.4</w:t>
        <w:tab/>
      </w:r>
      <w:r>
        <w:rPr>
          <w:rFonts w:ascii="Open Sans" w:hAnsi="Open Sans"/>
          <w:b w:val="0"/>
          <w:i w:val="0"/>
          <w:sz w:val="21"/>
        </w:rPr>
        <w:t xml:space="preserve">Relief is available only for a loss of supply event, meaning: a national grid failure or blackout; an interruption of supply that was not on the published schedule and lasts longer than </w:t>
      </w:r>
      <w:r>
        <w:rPr>
          <w:rFonts w:ascii="Open Sans" w:hAnsi="Open Sans"/>
          <w:b w:val="0"/>
          <w:i w:val="0"/>
          <w:color w:val="21759B"/>
          <w:sz w:val="21"/>
        </w:rPr>
        <w:t>[8]</w:t>
      </w:r>
      <w:r>
        <w:rPr>
          <w:rFonts w:ascii="Open Sans" w:hAnsi="Open Sans"/>
          <w:b w:val="0"/>
          <w:i w:val="0"/>
          <w:sz w:val="21"/>
        </w:rPr>
        <w:t xml:space="preserve"> consecutive hours; sustained load shedding at stage </w:t>
      </w:r>
      <w:r>
        <w:rPr>
          <w:rFonts w:ascii="Open Sans" w:hAnsi="Open Sans"/>
          <w:b w:val="0"/>
          <w:i w:val="0"/>
          <w:color w:val="21759B"/>
          <w:sz w:val="21"/>
        </w:rPr>
        <w:t>[6]</w:t>
      </w:r>
      <w:r>
        <w:rPr>
          <w:rFonts w:ascii="Open Sans" w:hAnsi="Open Sans"/>
          <w:b w:val="0"/>
          <w:i w:val="0"/>
          <w:sz w:val="21"/>
        </w:rPr>
        <w:t xml:space="preserve"> or higher for more than </w:t>
      </w:r>
      <w:r>
        <w:rPr>
          <w:rFonts w:ascii="Open Sans" w:hAnsi="Open Sans"/>
          <w:b w:val="0"/>
          <w:i w:val="0"/>
          <w:color w:val="21759B"/>
          <w:sz w:val="21"/>
        </w:rPr>
        <w:t>[72]</w:t>
      </w:r>
      <w:r>
        <w:rPr>
          <w:rFonts w:ascii="Open Sans" w:hAnsi="Open Sans"/>
          <w:b w:val="0"/>
          <w:i w:val="0"/>
          <w:sz w:val="21"/>
        </w:rPr>
        <w:t xml:space="preserve"> consecutive hours, where the affected party can show that recharging batteries or obtaining fuel was not reasonably possible; or physical damage to equipment caused by an outage or a power surge, where the affected party had surge protection in place.</w:t>
      </w:r>
    </w:p>
    <w:p>
      <w:pPr>
        <w:spacing w:after="80"/>
        <w:ind w:left="624" w:hanging="624"/>
        <w:jc w:val="both"/>
      </w:pPr>
      <w:r>
        <w:rPr>
          <w:rFonts w:ascii="Open Sans" w:hAnsi="Open Sans"/>
          <w:b/>
          <w:color w:val="191C4A"/>
          <w:sz w:val="21"/>
        </w:rPr>
        <w:t>12.5</w:t>
        <w:tab/>
      </w:r>
      <w:r>
        <w:rPr>
          <w:rFonts w:ascii="Open Sans" w:hAnsi="Open Sans"/>
          <w:b w:val="0"/>
          <w:i w:val="0"/>
          <w:sz w:val="21"/>
        </w:rPr>
        <w:t xml:space="preserve">A party claiming a loss of supply event must notify the other in writing within </w:t>
      </w:r>
      <w:r>
        <w:rPr>
          <w:rFonts w:ascii="Open Sans" w:hAnsi="Open Sans"/>
          <w:b w:val="0"/>
          <w:i w:val="0"/>
          <w:color w:val="21759B"/>
          <w:sz w:val="21"/>
        </w:rPr>
        <w:t>[24]</w:t>
      </w:r>
      <w:r>
        <w:rPr>
          <w:rFonts w:ascii="Open Sans" w:hAnsi="Open Sans"/>
          <w:b w:val="0"/>
          <w:i w:val="0"/>
          <w:sz w:val="21"/>
        </w:rPr>
        <w:t xml:space="preserve"> hours, must attach or identify the published schedule or the utility's own notice for the affected area, and must say what it is doing to restore service. The published Eskom or municipal schedule for the area is the record of what was scheduled and what was not.</w:t>
      </w:r>
    </w:p>
    <w:p>
      <w:pPr>
        <w:spacing w:after="80"/>
        <w:ind w:left="624" w:hanging="624"/>
        <w:jc w:val="both"/>
      </w:pPr>
      <w:r>
        <w:rPr>
          <w:rFonts w:ascii="Open Sans" w:hAnsi="Open Sans"/>
          <w:b/>
          <w:color w:val="191C4A"/>
          <w:sz w:val="21"/>
        </w:rPr>
        <w:t>12.6</w:t>
        <w:tab/>
      </w:r>
      <w:r>
        <w:rPr>
          <w:rFonts w:ascii="Open Sans" w:hAnsi="Open Sans"/>
          <w:b w:val="0"/>
          <w:i w:val="0"/>
          <w:sz w:val="21"/>
        </w:rPr>
        <w:t xml:space="preserve">During a loss of supply event the service levels are suspended for the duration of the event and for a reasonable recovery period afterwards, not exceeding </w:t>
      </w:r>
      <w:r>
        <w:rPr>
          <w:rFonts w:ascii="Open Sans" w:hAnsi="Open Sans"/>
          <w:b w:val="0"/>
          <w:i w:val="0"/>
          <w:color w:val="21759B"/>
          <w:sz w:val="21"/>
        </w:rPr>
        <w:t>[4]</w:t>
      </w:r>
      <w:r>
        <w:rPr>
          <w:rFonts w:ascii="Open Sans" w:hAnsi="Open Sans"/>
          <w:b w:val="0"/>
          <w:i w:val="0"/>
          <w:sz w:val="21"/>
        </w:rPr>
        <w:t xml:space="preserve"> hours. The affected party must still do everything reasonably possible to keep critical services running and to keep the other party informed.</w:t>
      </w:r>
    </w:p>
    <w:p>
      <w:pPr>
        <w:spacing w:after="80"/>
        <w:ind w:left="624" w:hanging="624"/>
        <w:jc w:val="both"/>
      </w:pPr>
      <w:r>
        <w:rPr>
          <w:rFonts w:ascii="Open Sans" w:hAnsi="Open Sans"/>
          <w:b/>
          <w:color w:val="191C4A"/>
          <w:sz w:val="21"/>
        </w:rPr>
        <w:t>12.7</w:t>
        <w:tab/>
      </w:r>
      <w:r>
        <w:rPr>
          <w:rFonts w:ascii="Open Sans" w:hAnsi="Open Sans"/>
          <w:b w:val="0"/>
          <w:i w:val="0"/>
          <w:sz w:val="21"/>
        </w:rPr>
        <w:t>Neither party may recover the cost of backup power from the other unless Schedule A says so. If the customer wants a higher level of protection at its own site, for example a generator, that is a separate quoted item.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Two practical points. First, write the customer's area and the service provider's area into Schedule A, because load shedding schedules are per block and a provider in Midrand and a customer in Mthatha will almost never be dark at the same time. Second, if the service genuinely cannot run through load shedding and neither party will pay for backup power, do not paper over it with a force majeure clause. Lower the availability target in clause 4.2 instead, and put the real reason in Schedule A. An honest 98% is worth far more to both sides than a 99.9% that nobody believes.</w:t>
      </w:r>
    </w:p>
    <w:p>
      <w:pPr>
        <w:keepNext/>
        <w:spacing w:before="200" w:after="60"/>
      </w:pPr>
      <w:r>
        <w:rPr>
          <w:rFonts w:ascii="Montserrat" w:hAnsi="Montserrat"/>
          <w:b/>
          <w:color w:val="191C4A"/>
          <w:sz w:val="21"/>
        </w:rPr>
        <w:t>13. FORCE MAJEURE</w:t>
      </w:r>
    </w:p>
    <w:p>
      <w:pPr>
        <w:spacing w:after="80"/>
        <w:ind w:left="624" w:hanging="624"/>
        <w:jc w:val="both"/>
      </w:pPr>
      <w:r>
        <w:rPr>
          <w:rFonts w:ascii="Open Sans" w:hAnsi="Open Sans"/>
          <w:b/>
          <w:color w:val="191C4A"/>
          <w:sz w:val="21"/>
        </w:rPr>
        <w:t>13.1</w:t>
        <w:tab/>
      </w:r>
      <w:r>
        <w:rPr>
          <w:rFonts w:ascii="Open Sans" w:hAnsi="Open Sans"/>
          <w:b w:val="0"/>
          <w:i w:val="0"/>
          <w:sz w:val="21"/>
        </w:rPr>
        <w:t>Neither party is in breach of this agreement, and neither incurs liability, for a failure or delay caused by an event beyond its reasonable control, including a natural disaster, flood, fire, epidemic, war, civil unrest, riot, a declared state of disaster, a change in the law, or an act or omission of government.</w:t>
      </w:r>
    </w:p>
    <w:p>
      <w:pPr>
        <w:spacing w:after="80"/>
        <w:ind w:left="624" w:hanging="624"/>
        <w:jc w:val="both"/>
      </w:pPr>
      <w:r>
        <w:rPr>
          <w:rFonts w:ascii="Open Sans" w:hAnsi="Open Sans"/>
          <w:b/>
          <w:color w:val="191C4A"/>
          <w:sz w:val="21"/>
        </w:rPr>
        <w:t>13.2</w:t>
        <w:tab/>
      </w:r>
      <w:r>
        <w:rPr>
          <w:rFonts w:ascii="Open Sans" w:hAnsi="Open Sans"/>
          <w:b w:val="0"/>
          <w:i w:val="0"/>
          <w:sz w:val="21"/>
        </w:rPr>
        <w:t>Load shedding is dealt with in clause 12 and is not a force majeure event except to the extent that it is a loss of supply event as defined in clause 12.4.</w:t>
      </w:r>
    </w:p>
    <w:p>
      <w:pPr>
        <w:spacing w:after="80"/>
        <w:ind w:left="624" w:hanging="624"/>
        <w:jc w:val="both"/>
      </w:pPr>
      <w:r>
        <w:rPr>
          <w:rFonts w:ascii="Open Sans" w:hAnsi="Open Sans"/>
          <w:b/>
          <w:color w:val="191C4A"/>
          <w:sz w:val="21"/>
        </w:rPr>
        <w:t>13.3</w:t>
        <w:tab/>
      </w:r>
      <w:r>
        <w:rPr>
          <w:rFonts w:ascii="Open Sans" w:hAnsi="Open Sans"/>
          <w:b w:val="0"/>
          <w:i w:val="0"/>
          <w:sz w:val="21"/>
        </w:rPr>
        <w:t>A shortage of labour, a shortage of materials, the failure of a subcontractor that the affected party chose, and a lack of funds are not force majeure events.</w:t>
      </w:r>
    </w:p>
    <w:p>
      <w:pPr>
        <w:spacing w:after="80"/>
        <w:ind w:left="624" w:hanging="624"/>
        <w:jc w:val="both"/>
      </w:pPr>
      <w:r>
        <w:rPr>
          <w:rFonts w:ascii="Open Sans" w:hAnsi="Open Sans"/>
          <w:b/>
          <w:color w:val="191C4A"/>
          <w:sz w:val="21"/>
        </w:rPr>
        <w:t>13.4</w:t>
        <w:tab/>
      </w:r>
      <w:r>
        <w:rPr>
          <w:rFonts w:ascii="Open Sans" w:hAnsi="Open Sans"/>
          <w:b w:val="0"/>
          <w:i w:val="0"/>
          <w:sz w:val="21"/>
        </w:rPr>
        <w:t xml:space="preserve">The affected party must notify the other in writing within </w:t>
      </w:r>
      <w:r>
        <w:rPr>
          <w:rFonts w:ascii="Open Sans" w:hAnsi="Open Sans"/>
          <w:b w:val="0"/>
          <w:i w:val="0"/>
          <w:color w:val="21759B"/>
          <w:sz w:val="21"/>
        </w:rPr>
        <w:t>[3]</w:t>
      </w:r>
      <w:r>
        <w:rPr>
          <w:rFonts w:ascii="Open Sans" w:hAnsi="Open Sans"/>
          <w:b w:val="0"/>
          <w:i w:val="0"/>
          <w:sz w:val="21"/>
        </w:rPr>
        <w:t xml:space="preserve"> business days of becoming aware of the event, say what it expects the effect and duration to be, do everything reasonable to limit the effect and to resume performance, and update the other party at least weekly.</w:t>
      </w:r>
    </w:p>
    <w:p>
      <w:pPr>
        <w:spacing w:after="80"/>
        <w:ind w:left="624" w:hanging="624"/>
        <w:jc w:val="both"/>
      </w:pPr>
      <w:r>
        <w:rPr>
          <w:rFonts w:ascii="Open Sans" w:hAnsi="Open Sans"/>
          <w:b/>
          <w:color w:val="191C4A"/>
          <w:sz w:val="21"/>
        </w:rPr>
        <w:t>13.5</w:t>
        <w:tab/>
      </w:r>
      <w:r>
        <w:rPr>
          <w:rFonts w:ascii="Open Sans" w:hAnsi="Open Sans"/>
          <w:b w:val="0"/>
          <w:i w:val="0"/>
          <w:sz w:val="21"/>
        </w:rPr>
        <w:t xml:space="preserve">If a force majeure event prevents performance for more than </w:t>
      </w:r>
      <w:r>
        <w:rPr>
          <w:rFonts w:ascii="Open Sans" w:hAnsi="Open Sans"/>
          <w:b w:val="0"/>
          <w:i w:val="0"/>
          <w:color w:val="21759B"/>
          <w:sz w:val="21"/>
        </w:rPr>
        <w:t>[30]</w:t>
      </w:r>
      <w:r>
        <w:rPr>
          <w:rFonts w:ascii="Open Sans" w:hAnsi="Open Sans"/>
          <w:b w:val="0"/>
          <w:i w:val="0"/>
          <w:sz w:val="21"/>
        </w:rPr>
        <w:t xml:space="preserve"> consecutive business days, either party may cancel this agreement on written notice, and the customer is refunded any fee paid in advance for services not delivered.</w:t>
      </w:r>
    </w:p>
    <w:p>
      <w:pPr>
        <w:keepNext/>
        <w:spacing w:before="200" w:after="60"/>
      </w:pPr>
      <w:r>
        <w:rPr>
          <w:rFonts w:ascii="Montserrat" w:hAnsi="Montserrat"/>
          <w:b/>
          <w:color w:val="191C4A"/>
          <w:sz w:val="21"/>
        </w:rPr>
        <w:t>14. TERM, NOTICE AND CANCELLATION</w:t>
      </w:r>
    </w:p>
    <w:p>
      <w:pPr>
        <w:spacing w:after="80" w:before="0"/>
        <w:jc w:val="both"/>
      </w:pPr>
      <w:r>
        <w:rPr>
          <w:rFonts w:ascii="Open Sans" w:hAnsi="Open Sans"/>
          <w:b w:val="0"/>
          <w:i w:val="0"/>
          <w:sz w:val="21"/>
        </w:rPr>
        <w:t>This clause sets the notice and cancellation terms by contract. Read the note at the end of it before you fill in the brackets.</w:t>
      </w:r>
    </w:p>
    <w:p>
      <w:pPr>
        <w:spacing w:after="80"/>
        <w:ind w:left="624" w:hanging="624"/>
        <w:jc w:val="both"/>
      </w:pPr>
      <w:r>
        <w:rPr>
          <w:rFonts w:ascii="Open Sans" w:hAnsi="Open Sans"/>
          <w:b/>
          <w:color w:val="191C4A"/>
          <w:sz w:val="21"/>
        </w:rPr>
        <w:t>14.1</w:t>
        <w:tab/>
      </w:r>
      <w:r>
        <w:rPr>
          <w:rFonts w:ascii="Open Sans" w:hAnsi="Open Sans"/>
          <w:b w:val="0"/>
          <w:i w:val="0"/>
          <w:sz w:val="21"/>
        </w:rPr>
        <w:t xml:space="preserve">This agreement starts on the effective date and runs for an initial term of </w:t>
      </w:r>
      <w:r>
        <w:rPr>
          <w:rFonts w:ascii="Open Sans" w:hAnsi="Open Sans"/>
          <w:b w:val="0"/>
          <w:i w:val="0"/>
          <w:color w:val="21759B"/>
          <w:sz w:val="21"/>
        </w:rPr>
        <w:t>[12]</w:t>
      </w:r>
      <w:r>
        <w:rPr>
          <w:rFonts w:ascii="Open Sans" w:hAnsi="Open Sans"/>
          <w:b w:val="0"/>
          <w:i w:val="0"/>
          <w:sz w:val="21"/>
        </w:rPr>
        <w:t xml:space="preserve"> months. Choose one: at the end of the initial term it continues month to month until either party cancels under clause 14.2, or it ends automatically unless the parties agree in writing to renew it.</w:t>
      </w:r>
    </w:p>
    <w:p>
      <w:pPr>
        <w:spacing w:after="80"/>
        <w:ind w:left="624" w:hanging="624"/>
        <w:jc w:val="both"/>
      </w:pPr>
      <w:r>
        <w:rPr>
          <w:rFonts w:ascii="Open Sans" w:hAnsi="Open Sans"/>
          <w:b/>
          <w:color w:val="191C4A"/>
          <w:sz w:val="21"/>
        </w:rPr>
        <w:t>14.2</w:t>
        <w:tab/>
      </w:r>
      <w:r>
        <w:rPr>
          <w:rFonts w:ascii="Open Sans" w:hAnsi="Open Sans"/>
          <w:b w:val="0"/>
          <w:i w:val="0"/>
          <w:sz w:val="21"/>
        </w:rPr>
        <w:t xml:space="preserve">After the initial term, either party may cancel this agreement on </w:t>
      </w:r>
      <w:r>
        <w:rPr>
          <w:rFonts w:ascii="Open Sans" w:hAnsi="Open Sans"/>
          <w:b w:val="0"/>
          <w:i w:val="0"/>
          <w:color w:val="21759B"/>
          <w:sz w:val="21"/>
        </w:rPr>
        <w:t>[30]</w:t>
      </w:r>
      <w:r>
        <w:rPr>
          <w:rFonts w:ascii="Open Sans" w:hAnsi="Open Sans"/>
          <w:b w:val="0"/>
          <w:i w:val="0"/>
          <w:sz w:val="21"/>
        </w:rPr>
        <w:t xml:space="preserve"> calendar days' written notice, for any reason or for none. The customer pays for services delivered up to the date the notice expires.</w:t>
      </w:r>
    </w:p>
    <w:p>
      <w:pPr>
        <w:spacing w:after="80"/>
        <w:ind w:left="624" w:hanging="624"/>
        <w:jc w:val="both"/>
      </w:pPr>
      <w:r>
        <w:rPr>
          <w:rFonts w:ascii="Open Sans" w:hAnsi="Open Sans"/>
          <w:b/>
          <w:color w:val="191C4A"/>
          <w:sz w:val="21"/>
        </w:rPr>
        <w:t>14.3</w:t>
        <w:tab/>
      </w:r>
      <w:r>
        <w:rPr>
          <w:rFonts w:ascii="Open Sans" w:hAnsi="Open Sans"/>
          <w:b w:val="0"/>
          <w:i w:val="0"/>
          <w:sz w:val="21"/>
        </w:rPr>
        <w:t xml:space="preserve">The customer may cancel during the initial term on </w:t>
      </w:r>
      <w:r>
        <w:rPr>
          <w:rFonts w:ascii="Open Sans" w:hAnsi="Open Sans"/>
          <w:b w:val="0"/>
          <w:i w:val="0"/>
          <w:color w:val="21759B"/>
          <w:sz w:val="21"/>
        </w:rPr>
        <w:t>[30]</w:t>
      </w:r>
      <w:r>
        <w:rPr>
          <w:rFonts w:ascii="Open Sans" w:hAnsi="Open Sans"/>
          <w:b w:val="0"/>
          <w:i w:val="0"/>
          <w:sz w:val="21"/>
        </w:rPr>
        <w:t xml:space="preserve"> calendar days' written notice, in which case the customer pays an early cancellation charge of [an amount equal to 25% of the fees that would have become payable for the unexpired part of the initial term, or the value of any equipment, setup work or third party commitment the service provider incurred for the customer and has not recovered, whichever is the greater].</w:t>
      </w:r>
    </w:p>
    <w:p>
      <w:pPr>
        <w:spacing w:after="80"/>
        <w:ind w:left="624" w:hanging="624"/>
        <w:jc w:val="both"/>
      </w:pPr>
      <w:r>
        <w:rPr>
          <w:rFonts w:ascii="Open Sans" w:hAnsi="Open Sans"/>
          <w:b/>
          <w:color w:val="191C4A"/>
          <w:sz w:val="21"/>
        </w:rPr>
        <w:t>14.4</w:t>
        <w:tab/>
      </w:r>
      <w:r>
        <w:rPr>
          <w:rFonts w:ascii="Open Sans" w:hAnsi="Open Sans"/>
          <w:b w:val="0"/>
          <w:i w:val="0"/>
          <w:sz w:val="21"/>
        </w:rPr>
        <w:t xml:space="preserve">Either party may cancel immediately, on written notice, if the other commits a material breach and fails to remedy it within </w:t>
      </w:r>
      <w:r>
        <w:rPr>
          <w:rFonts w:ascii="Open Sans" w:hAnsi="Open Sans"/>
          <w:b w:val="0"/>
          <w:i w:val="0"/>
          <w:color w:val="21759B"/>
          <w:sz w:val="21"/>
        </w:rPr>
        <w:t>[14]</w:t>
      </w:r>
      <w:r>
        <w:rPr>
          <w:rFonts w:ascii="Open Sans" w:hAnsi="Open Sans"/>
          <w:b w:val="0"/>
          <w:i w:val="0"/>
          <w:sz w:val="21"/>
        </w:rPr>
        <w:t xml:space="preserve"> business days of written notice specifying the breach, or is placed in liquidation or business rescue or commits an act of insolvency, or commits fraud or wilful misconduct in connection with this agreement.</w:t>
      </w:r>
    </w:p>
    <w:p>
      <w:pPr>
        <w:spacing w:after="80"/>
        <w:ind w:left="624" w:hanging="624"/>
        <w:jc w:val="both"/>
      </w:pPr>
      <w:r>
        <w:rPr>
          <w:rFonts w:ascii="Open Sans" w:hAnsi="Open Sans"/>
          <w:b/>
          <w:color w:val="191C4A"/>
          <w:sz w:val="21"/>
        </w:rPr>
        <w:t>14.5</w:t>
        <w:tab/>
      </w:r>
      <w:r>
        <w:rPr>
          <w:rFonts w:ascii="Open Sans" w:hAnsi="Open Sans"/>
          <w:b w:val="0"/>
          <w:i w:val="0"/>
          <w:sz w:val="21"/>
        </w:rPr>
        <w:t xml:space="preserve">The customer may cancel on </w:t>
      </w:r>
      <w:r>
        <w:rPr>
          <w:rFonts w:ascii="Open Sans" w:hAnsi="Open Sans"/>
          <w:b w:val="0"/>
          <w:i w:val="0"/>
          <w:color w:val="21759B"/>
          <w:sz w:val="21"/>
        </w:rPr>
        <w:t>[30]</w:t>
      </w:r>
      <w:r>
        <w:rPr>
          <w:rFonts w:ascii="Open Sans" w:hAnsi="Open Sans"/>
          <w:b w:val="0"/>
          <w:i w:val="0"/>
          <w:sz w:val="21"/>
        </w:rPr>
        <w:t xml:space="preserve"> days' written notice, without an early cancellation charge, if the service provider misses the availability target for </w:t>
      </w:r>
      <w:r>
        <w:rPr>
          <w:rFonts w:ascii="Open Sans" w:hAnsi="Open Sans"/>
          <w:b w:val="0"/>
          <w:i w:val="0"/>
          <w:color w:val="21759B"/>
          <w:sz w:val="21"/>
        </w:rPr>
        <w:t>[3]</w:t>
      </w:r>
      <w:r>
        <w:rPr>
          <w:rFonts w:ascii="Open Sans" w:hAnsi="Open Sans"/>
          <w:b w:val="0"/>
          <w:i w:val="0"/>
          <w:sz w:val="21"/>
        </w:rPr>
        <w:t xml:space="preserve"> consecutive months, or if service credits in any three month period exceed </w:t>
      </w:r>
      <w:r>
        <w:rPr>
          <w:rFonts w:ascii="Open Sans" w:hAnsi="Open Sans"/>
          <w:b w:val="0"/>
          <w:i w:val="0"/>
          <w:color w:val="21759B"/>
          <w:sz w:val="21"/>
        </w:rPr>
        <w:t>[25]</w:t>
      </w:r>
      <w:r>
        <w:rPr>
          <w:rFonts w:ascii="Open Sans" w:hAnsi="Open Sans"/>
          <w:b w:val="0"/>
          <w:i w:val="0"/>
          <w:sz w:val="21"/>
        </w:rPr>
        <w:t>% of the fees for that period. The customer is refunded any fee paid in advance for services not delivered.</w:t>
      </w:r>
    </w:p>
    <w:p>
      <w:pPr>
        <w:spacing w:after="80"/>
        <w:ind w:left="624" w:hanging="624"/>
        <w:jc w:val="both"/>
      </w:pPr>
      <w:r>
        <w:rPr>
          <w:rFonts w:ascii="Open Sans" w:hAnsi="Open Sans"/>
          <w:b/>
          <w:color w:val="191C4A"/>
          <w:sz w:val="21"/>
        </w:rPr>
        <w:t>14.6</w:t>
        <w:tab/>
      </w:r>
      <w:r>
        <w:rPr>
          <w:rFonts w:ascii="Open Sans" w:hAnsi="Open Sans"/>
          <w:b w:val="0"/>
          <w:i w:val="0"/>
          <w:sz w:val="21"/>
        </w:rPr>
        <w:t xml:space="preserve">On cancellation: all fees for services delivered become payable immediately; the service provider returns all customer data in a commonly used, machine readable format within </w:t>
      </w:r>
      <w:r>
        <w:rPr>
          <w:rFonts w:ascii="Open Sans" w:hAnsi="Open Sans"/>
          <w:b w:val="0"/>
          <w:i w:val="0"/>
          <w:color w:val="21759B"/>
          <w:sz w:val="21"/>
        </w:rPr>
        <w:t>[10]</w:t>
      </w:r>
      <w:r>
        <w:rPr>
          <w:rFonts w:ascii="Open Sans" w:hAnsi="Open Sans"/>
          <w:b w:val="0"/>
          <w:i w:val="0"/>
          <w:sz w:val="21"/>
        </w:rPr>
        <w:t xml:space="preserve"> business days, and provides reasonable transition assistance at the ad hoc rate for up to </w:t>
      </w:r>
      <w:r>
        <w:rPr>
          <w:rFonts w:ascii="Open Sans" w:hAnsi="Open Sans"/>
          <w:b w:val="0"/>
          <w:i w:val="0"/>
          <w:color w:val="21759B"/>
          <w:sz w:val="21"/>
        </w:rPr>
        <w:t>[30]</w:t>
      </w:r>
      <w:r>
        <w:rPr>
          <w:rFonts w:ascii="Open Sans" w:hAnsi="Open Sans"/>
          <w:b w:val="0"/>
          <w:i w:val="0"/>
          <w:sz w:val="21"/>
        </w:rPr>
        <w:t xml:space="preserve"> days if the customer asks for it in writing; each party returns or destroys the other's confidential information and personal information; and clauses 15, 16, 17 and 18 survive.</w:t>
      </w:r>
    </w:p>
    <w:p>
      <w:pPr>
        <w:spacing w:after="80"/>
        <w:ind w:left="624" w:hanging="624"/>
        <w:jc w:val="both"/>
      </w:pPr>
      <w:r>
        <w:rPr>
          <w:rFonts w:ascii="Open Sans" w:hAnsi="Open Sans"/>
          <w:b/>
          <w:color w:val="191C4A"/>
          <w:sz w:val="21"/>
        </w:rPr>
        <w:t>14.7</w:t>
        <w:tab/>
      </w:r>
      <w:r>
        <w:rPr>
          <w:rFonts w:ascii="Open Sans" w:hAnsi="Open Sans"/>
          <w:b w:val="0"/>
          <w:i w:val="0"/>
          <w:sz w:val="21"/>
        </w:rPr>
        <w:t>Where the customer is a natural person, the Consumer Protection Act applies to this agreement and section 14 gives the customer the right to cancel a fixed term agreement at any time on 20 business days' written notice, subject to a reasonable cancellation penalty, in addition to everything in this clause. Where the customer is a juristic person, section 14 does not apply at all and this clause governs.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early cancellation charge in clause 14.3 must be a genuine pre-estimate of what the service provider actually loses, not a punishment. Under the Conventional Penalties Act 15 of 1962 a court may reduce a penalty that is out of proportion to the prejudice the innocent party actually suffered, and it will do exactly that with a charge equal to the entire remaining contract value. Where the customer is a consumer under the CPA, the charge must also be reasonable within the meaning of section 14(3), which requires you to take into account how much of the term is left, the value of the transaction, the customer's reason for cancelling, and the length of notice given.</w:t>
      </w:r>
    </w:p>
    <w:p>
      <w:pPr>
        <w:keepNext/>
        <w:spacing w:before="200" w:after="60"/>
      </w:pPr>
      <w:r>
        <w:rPr>
          <w:rFonts w:ascii="Montserrat" w:hAnsi="Montserrat"/>
          <w:b/>
          <w:color w:val="191C4A"/>
          <w:sz w:val="21"/>
        </w:rPr>
        <w:t>15. CONFIDENTIALITY AND PERSONAL INFORMATION</w:t>
      </w:r>
    </w:p>
    <w:p>
      <w:pPr>
        <w:spacing w:after="80"/>
        <w:ind w:left="624" w:hanging="624"/>
        <w:jc w:val="both"/>
      </w:pPr>
      <w:r>
        <w:rPr>
          <w:rFonts w:ascii="Open Sans" w:hAnsi="Open Sans"/>
          <w:b/>
          <w:color w:val="191C4A"/>
          <w:sz w:val="21"/>
        </w:rPr>
        <w:t>15.1</w:t>
        <w:tab/>
      </w:r>
      <w:r>
        <w:rPr>
          <w:rFonts w:ascii="Open Sans" w:hAnsi="Open Sans"/>
          <w:b w:val="0"/>
          <w:i w:val="0"/>
          <w:sz w:val="21"/>
        </w:rPr>
        <w:t xml:space="preserve">Each party will keep the other's confidential information confidential, use it only for this agreement, and disclose it only to people who need it and are bound by equivalent obligations. This survives cancellation for </w:t>
      </w:r>
      <w:r>
        <w:rPr>
          <w:rFonts w:ascii="Open Sans" w:hAnsi="Open Sans"/>
          <w:b w:val="0"/>
          <w:i w:val="0"/>
          <w:color w:val="21759B"/>
          <w:sz w:val="21"/>
        </w:rPr>
        <w:t>[3]</w:t>
      </w:r>
      <w:r>
        <w:rPr>
          <w:rFonts w:ascii="Open Sans" w:hAnsi="Open Sans"/>
          <w:b w:val="0"/>
          <w:i w:val="0"/>
          <w:sz w:val="21"/>
        </w:rPr>
        <w:t xml:space="preserve"> years, and indefinitely for trade secrets.</w:t>
      </w:r>
    </w:p>
    <w:p>
      <w:pPr>
        <w:spacing w:after="80"/>
        <w:ind w:left="624" w:hanging="624"/>
        <w:jc w:val="both"/>
      </w:pPr>
      <w:r>
        <w:rPr>
          <w:rFonts w:ascii="Open Sans" w:hAnsi="Open Sans"/>
          <w:b/>
          <w:color w:val="191C4A"/>
          <w:sz w:val="21"/>
        </w:rPr>
        <w:t>15.2</w:t>
        <w:tab/>
      </w:r>
      <w:r>
        <w:rPr>
          <w:rFonts w:ascii="Open Sans" w:hAnsi="Open Sans"/>
          <w:b w:val="0"/>
          <w:i w:val="0"/>
          <w:sz w:val="21"/>
        </w:rPr>
        <w:t>Where the service provider processes personal information on behalf of the customer, it does so as an operator under the Protection of Personal Information Act 4 of 2013 and must process it only on the customer's documented instructions, secure it with appropriate technical and organisational measures under section 19, and not appoint a sub-operator without the customer's written consent.</w:t>
      </w:r>
    </w:p>
    <w:p>
      <w:pPr>
        <w:spacing w:after="80"/>
        <w:ind w:left="624" w:hanging="624"/>
        <w:jc w:val="both"/>
      </w:pPr>
      <w:r>
        <w:rPr>
          <w:rFonts w:ascii="Open Sans" w:hAnsi="Open Sans"/>
          <w:b/>
          <w:color w:val="191C4A"/>
          <w:sz w:val="21"/>
        </w:rPr>
        <w:t>15.3</w:t>
        <w:tab/>
      </w:r>
      <w:r>
        <w:rPr>
          <w:rFonts w:ascii="Open Sans" w:hAnsi="Open Sans"/>
          <w:b w:val="0"/>
          <w:i w:val="0"/>
          <w:sz w:val="21"/>
        </w:rPr>
        <w:t>If either party has reasonable grounds to believe that personal information has been accessed or acquired by an unauthorised person, it must notify the other in writing as soon as reasonably possible after discovering it, with enough detail for the responsible party to notify the Information Regulator and the affected people under section 22 of POPIA. POPIA sets no 72 hour deadline.</w:t>
      </w:r>
    </w:p>
    <w:p>
      <w:pPr>
        <w:spacing w:after="80"/>
        <w:ind w:left="624" w:hanging="624"/>
        <w:jc w:val="both"/>
      </w:pPr>
      <w:r>
        <w:rPr>
          <w:rFonts w:ascii="Open Sans" w:hAnsi="Open Sans"/>
          <w:b/>
          <w:color w:val="191C4A"/>
          <w:sz w:val="21"/>
        </w:rPr>
        <w:t>15.4</w:t>
        <w:tab/>
      </w:r>
      <w:r>
        <w:rPr>
          <w:rFonts w:ascii="Open Sans" w:hAnsi="Open Sans"/>
          <w:b w:val="0"/>
          <w:i w:val="0"/>
          <w:sz w:val="21"/>
        </w:rPr>
        <w:t>Neither party may transfer personal information outside South Africa except as section 72 of POPIA permits.</w:t>
      </w:r>
    </w:p>
    <w:p>
      <w:pPr>
        <w:spacing w:after="80"/>
        <w:ind w:left="624" w:hanging="624"/>
        <w:jc w:val="both"/>
      </w:pPr>
      <w:r>
        <w:rPr>
          <w:rFonts w:ascii="Open Sans" w:hAnsi="Open Sans"/>
          <w:b/>
          <w:color w:val="191C4A"/>
          <w:sz w:val="21"/>
        </w:rPr>
        <w:t>15.5</w:t>
        <w:tab/>
      </w:r>
      <w:r>
        <w:rPr>
          <w:rFonts w:ascii="Open Sans" w:hAnsi="Open Sans"/>
          <w:b w:val="0"/>
          <w:i w:val="0"/>
          <w:sz w:val="21"/>
        </w:rPr>
        <w:t>On cancellation the service provider returns or securely destroys all personal information it holds for the customer, and confirms in writing that it has done so, subject to any retention the law requires.</w:t>
      </w:r>
    </w:p>
    <w:p>
      <w:pPr>
        <w:keepNext/>
        <w:spacing w:before="200" w:after="60"/>
      </w:pPr>
      <w:r>
        <w:rPr>
          <w:rFonts w:ascii="Montserrat" w:hAnsi="Montserrat"/>
          <w:b/>
          <w:color w:val="191C4A"/>
          <w:sz w:val="21"/>
        </w:rPr>
        <w:t>16. LIABILITY</w:t>
      </w:r>
    </w:p>
    <w:p>
      <w:pPr>
        <w:spacing w:after="80"/>
        <w:ind w:left="624" w:hanging="624"/>
        <w:jc w:val="both"/>
      </w:pPr>
      <w:r>
        <w:rPr>
          <w:rFonts w:ascii="Open Sans" w:hAnsi="Open Sans"/>
          <w:b/>
          <w:color w:val="191C4A"/>
          <w:sz w:val="21"/>
        </w:rPr>
        <w:t>16.1</w:t>
        <w:tab/>
      </w:r>
      <w:r>
        <w:rPr>
          <w:rFonts w:ascii="Open Sans" w:hAnsi="Open Sans"/>
          <w:b w:val="0"/>
          <w:i w:val="0"/>
          <w:sz w:val="21"/>
        </w:rPr>
        <w:t xml:space="preserve">The service provider's total liability under this agreement is limited to the fees paid by the customer in the </w:t>
      </w:r>
      <w:r>
        <w:rPr>
          <w:rFonts w:ascii="Open Sans" w:hAnsi="Open Sans"/>
          <w:b w:val="0"/>
          <w:i w:val="0"/>
          <w:color w:val="21759B"/>
          <w:sz w:val="21"/>
        </w:rPr>
        <w:t>[3]</w:t>
      </w:r>
      <w:r>
        <w:rPr>
          <w:rFonts w:ascii="Open Sans" w:hAnsi="Open Sans"/>
          <w:b w:val="0"/>
          <w:i w:val="0"/>
          <w:sz w:val="21"/>
        </w:rPr>
        <w:t xml:space="preserve"> months before the event giving rise to the claim.</w:t>
      </w:r>
    </w:p>
    <w:p>
      <w:pPr>
        <w:spacing w:after="80"/>
        <w:ind w:left="624" w:hanging="624"/>
        <w:jc w:val="both"/>
      </w:pPr>
      <w:r>
        <w:rPr>
          <w:rFonts w:ascii="Open Sans" w:hAnsi="Open Sans"/>
          <w:b/>
          <w:color w:val="191C4A"/>
          <w:sz w:val="21"/>
        </w:rPr>
        <w:t>16.2</w:t>
        <w:tab/>
      </w:r>
      <w:r>
        <w:rPr>
          <w:rFonts w:ascii="Open Sans" w:hAnsi="Open Sans"/>
          <w:b w:val="0"/>
          <w:i w:val="0"/>
          <w:sz w:val="21"/>
        </w:rPr>
        <w:t>Neither party is liable for indirect or consequential loss, including loss of profit, loss of data, or business interruption.</w:t>
      </w:r>
    </w:p>
    <w:p>
      <w:pPr>
        <w:spacing w:after="80"/>
        <w:ind w:left="624" w:hanging="624"/>
        <w:jc w:val="both"/>
      </w:pPr>
      <w:r>
        <w:rPr>
          <w:rFonts w:ascii="Open Sans" w:hAnsi="Open Sans"/>
          <w:b/>
          <w:color w:val="191C4A"/>
          <w:sz w:val="21"/>
        </w:rPr>
        <w:t>16.3</w:t>
        <w:tab/>
      </w:r>
      <w:r>
        <w:rPr>
          <w:rFonts w:ascii="Open Sans" w:hAnsi="Open Sans"/>
          <w:b w:val="0"/>
          <w:i w:val="0"/>
          <w:sz w:val="21"/>
        </w:rPr>
        <w:t>The limits in clauses 16.1 and 16.2 do not apply to liability for fraud or wilful misconduct, death or personal injury caused by negligence, a breach of confidentiality, a breach of POPIA, or any liability that cannot lawfully be limited, including under the Consumer Protection Act where it applies.</w:t>
      </w:r>
    </w:p>
    <w:p>
      <w:pPr>
        <w:spacing w:after="80"/>
        <w:ind w:left="624" w:hanging="624"/>
        <w:jc w:val="both"/>
      </w:pPr>
      <w:r>
        <w:rPr>
          <w:rFonts w:ascii="Open Sans" w:hAnsi="Open Sans"/>
          <w:b/>
          <w:color w:val="191C4A"/>
          <w:sz w:val="21"/>
        </w:rPr>
        <w:t>16.4</w:t>
        <w:tab/>
      </w:r>
      <w:r>
        <w:rPr>
          <w:rFonts w:ascii="Open Sans" w:hAnsi="Open Sans"/>
          <w:b w:val="0"/>
          <w:i w:val="0"/>
          <w:sz w:val="21"/>
        </w:rPr>
        <w:t>Each party must take reasonable steps to limit any loss it suffers.</w:t>
      </w:r>
    </w:p>
    <w:p>
      <w:pPr>
        <w:keepNext/>
        <w:spacing w:before="200" w:after="60"/>
      </w:pPr>
      <w:r>
        <w:rPr>
          <w:rFonts w:ascii="Montserrat" w:hAnsi="Montserrat"/>
          <w:b/>
          <w:color w:val="191C4A"/>
          <w:sz w:val="21"/>
        </w:rPr>
        <w:t>17. INTELLECTUAL PROPERTY</w:t>
      </w:r>
    </w:p>
    <w:p>
      <w:pPr>
        <w:spacing w:after="80"/>
        <w:ind w:left="624" w:hanging="624"/>
        <w:jc w:val="both"/>
      </w:pPr>
      <w:r>
        <w:rPr>
          <w:rFonts w:ascii="Open Sans" w:hAnsi="Open Sans"/>
          <w:b/>
          <w:color w:val="191C4A"/>
          <w:sz w:val="21"/>
        </w:rPr>
        <w:t>17.1</w:t>
        <w:tab/>
      </w:r>
      <w:r>
        <w:rPr>
          <w:rFonts w:ascii="Open Sans" w:hAnsi="Open Sans"/>
          <w:b w:val="0"/>
          <w:i w:val="0"/>
          <w:sz w:val="21"/>
        </w:rPr>
        <w:t>Each party keeps the intellectual property it owned before this agreement or developed independently of it.</w:t>
      </w:r>
    </w:p>
    <w:p>
      <w:pPr>
        <w:spacing w:after="80"/>
        <w:ind w:left="624" w:hanging="624"/>
        <w:jc w:val="both"/>
      </w:pPr>
      <w:r>
        <w:rPr>
          <w:rFonts w:ascii="Open Sans" w:hAnsi="Open Sans"/>
          <w:b/>
          <w:color w:val="191C4A"/>
          <w:sz w:val="21"/>
        </w:rPr>
        <w:t>17.2</w:t>
        <w:tab/>
      </w:r>
      <w:r>
        <w:rPr>
          <w:rFonts w:ascii="Open Sans" w:hAnsi="Open Sans"/>
          <w:b w:val="0"/>
          <w:i w:val="0"/>
          <w:sz w:val="21"/>
        </w:rPr>
        <w:t>Choose one. OPTION A: intellectual property in deliverables created specifically for the customer vests in the customer once the customer has paid for them in full. OPTION B: it remains the service provider's, and the customer receives a perpetual, non-exclusive, royalty free licence to use it for the purpose for which it was created.</w:t>
      </w:r>
    </w:p>
    <w:p>
      <w:pPr>
        <w:spacing w:after="80"/>
        <w:ind w:left="624" w:hanging="624"/>
        <w:jc w:val="both"/>
      </w:pPr>
      <w:r>
        <w:rPr>
          <w:rFonts w:ascii="Open Sans" w:hAnsi="Open Sans"/>
          <w:b/>
          <w:color w:val="191C4A"/>
          <w:sz w:val="21"/>
        </w:rPr>
        <w:t>17.3</w:t>
        <w:tab/>
      </w:r>
      <w:r>
        <w:rPr>
          <w:rFonts w:ascii="Open Sans" w:hAnsi="Open Sans"/>
          <w:b w:val="0"/>
          <w:i w:val="0"/>
          <w:sz w:val="21"/>
        </w:rPr>
        <w:t>The customer's data remains the customer's property at all times. The service provider has no lien over it and may not withhold it, even where fees are in dispute.</w:t>
      </w:r>
    </w:p>
    <w:p>
      <w:pPr>
        <w:spacing w:after="80"/>
        <w:ind w:left="624" w:hanging="624"/>
        <w:jc w:val="both"/>
      </w:pPr>
      <w:r>
        <w:rPr>
          <w:rFonts w:ascii="Open Sans" w:hAnsi="Open Sans"/>
          <w:b/>
          <w:color w:val="191C4A"/>
          <w:sz w:val="21"/>
        </w:rPr>
        <w:t>17.4</w:t>
        <w:tab/>
      </w:r>
      <w:r>
        <w:rPr>
          <w:rFonts w:ascii="Open Sans" w:hAnsi="Open Sans"/>
          <w:b w:val="0"/>
          <w:i w:val="0"/>
          <w:sz w:val="21"/>
        </w:rPr>
        <w:t>The service provider warrants that the services and deliverables do not infringe anyone else's intellectual property, and indemnifies the customer against any claim that they do.</w:t>
      </w:r>
    </w:p>
    <w:p>
      <w:pPr>
        <w:keepNext/>
        <w:spacing w:before="200" w:after="60"/>
      </w:pPr>
      <w:r>
        <w:rPr>
          <w:rFonts w:ascii="Montserrat" w:hAnsi="Montserrat"/>
          <w:b/>
          <w:color w:val="191C4A"/>
          <w:sz w:val="21"/>
        </w:rPr>
        <w:t>18. DISPUTE RESOLUTION AND GENERAL</w:t>
      </w:r>
    </w:p>
    <w:p>
      <w:pPr>
        <w:spacing w:after="80"/>
        <w:ind w:left="624" w:hanging="624"/>
        <w:jc w:val="both"/>
      </w:pPr>
      <w:r>
        <w:rPr>
          <w:rFonts w:ascii="Open Sans" w:hAnsi="Open Sans"/>
          <w:b/>
          <w:color w:val="191C4A"/>
          <w:sz w:val="21"/>
        </w:rPr>
        <w:t>18.1</w:t>
        <w:tab/>
      </w:r>
      <w:r>
        <w:rPr>
          <w:rFonts w:ascii="Open Sans" w:hAnsi="Open Sans"/>
          <w:b w:val="0"/>
          <w:i w:val="0"/>
          <w:sz w:val="21"/>
        </w:rPr>
        <w:t xml:space="preserve">The parties will first try to resolve a dispute by discussion between senior representatives within </w:t>
      </w:r>
      <w:r>
        <w:rPr>
          <w:rFonts w:ascii="Open Sans" w:hAnsi="Open Sans"/>
          <w:b w:val="0"/>
          <w:i w:val="0"/>
          <w:color w:val="21759B"/>
          <w:sz w:val="21"/>
        </w:rPr>
        <w:t>[10]</w:t>
      </w:r>
      <w:r>
        <w:rPr>
          <w:rFonts w:ascii="Open Sans" w:hAnsi="Open Sans"/>
          <w:b w:val="0"/>
          <w:i w:val="0"/>
          <w:sz w:val="21"/>
        </w:rPr>
        <w:t xml:space="preserve"> business days of written notice of the dispute. If that fails, the dispute goes to mediation, and failing mediation within a further </w:t>
      </w:r>
      <w:r>
        <w:rPr>
          <w:rFonts w:ascii="Open Sans" w:hAnsi="Open Sans"/>
          <w:b w:val="0"/>
          <w:i w:val="0"/>
          <w:color w:val="21759B"/>
          <w:sz w:val="21"/>
        </w:rPr>
        <w:t>[15]</w:t>
      </w:r>
      <w:r>
        <w:rPr>
          <w:rFonts w:ascii="Open Sans" w:hAnsi="Open Sans"/>
          <w:b w:val="0"/>
          <w:i w:val="0"/>
          <w:sz w:val="21"/>
        </w:rPr>
        <w:t xml:space="preserve"> business days, to arbitration under the rules of the Arbitration Foundation of Southern Africa before one arbitrator sitting in </w:t>
      </w:r>
      <w:r>
        <w:rPr>
          <w:rFonts w:ascii="Open Sans" w:hAnsi="Open Sans"/>
          <w:b w:val="0"/>
          <w:i w:val="0"/>
          <w:color w:val="21759B"/>
          <w:sz w:val="21"/>
        </w:rPr>
        <w:t>[city]</w:t>
      </w:r>
      <w:r>
        <w:rPr>
          <w:rFonts w:ascii="Open Sans" w:hAnsi="Open Sans"/>
          <w:b w:val="0"/>
          <w:i w:val="0"/>
          <w:sz w:val="21"/>
        </w:rPr>
        <w:t>. Either party may approach a court for urgent relief at any time.</w:t>
      </w:r>
    </w:p>
    <w:p>
      <w:pPr>
        <w:spacing w:after="80"/>
        <w:ind w:left="624" w:hanging="624"/>
        <w:jc w:val="both"/>
      </w:pPr>
      <w:r>
        <w:rPr>
          <w:rFonts w:ascii="Open Sans" w:hAnsi="Open Sans"/>
          <w:b/>
          <w:color w:val="191C4A"/>
          <w:sz w:val="21"/>
        </w:rPr>
        <w:t>18.2</w:t>
        <w:tab/>
      </w:r>
      <w:r>
        <w:rPr>
          <w:rFonts w:ascii="Open Sans" w:hAnsi="Open Sans"/>
          <w:b w:val="0"/>
          <w:i w:val="0"/>
          <w:sz w:val="21"/>
        </w:rPr>
        <w:t>Where the customer is a consumer under the Consumer Protection Act, nothing in this agreement prevents it from referring a complaint to the National Consumer Commission or to the Consumer Goods and Services Ombud.</w:t>
      </w:r>
    </w:p>
    <w:p>
      <w:pPr>
        <w:spacing w:after="80"/>
        <w:ind w:left="624" w:hanging="624"/>
        <w:jc w:val="both"/>
      </w:pPr>
      <w:r>
        <w:rPr>
          <w:rFonts w:ascii="Open Sans" w:hAnsi="Open Sans"/>
          <w:b/>
          <w:color w:val="191C4A"/>
          <w:sz w:val="21"/>
        </w:rPr>
        <w:t>18.3</w:t>
        <w:tab/>
      </w:r>
      <w:r>
        <w:rPr>
          <w:rFonts w:ascii="Open Sans" w:hAnsi="Open Sans"/>
          <w:b w:val="0"/>
          <w:i w:val="0"/>
          <w:sz w:val="21"/>
        </w:rPr>
        <w:t>This agreement and its schedules are the whole agreement between the parties. No amendment is valid unless in writing and signed by authorised representatives of both parties.</w:t>
      </w:r>
    </w:p>
    <w:p>
      <w:pPr>
        <w:spacing w:after="80"/>
        <w:ind w:left="624" w:hanging="624"/>
        <w:jc w:val="both"/>
      </w:pPr>
      <w:r>
        <w:rPr>
          <w:rFonts w:ascii="Open Sans" w:hAnsi="Open Sans"/>
          <w:b/>
          <w:color w:val="191C4A"/>
          <w:sz w:val="21"/>
        </w:rPr>
        <w:t>18.4</w:t>
        <w:tab/>
      </w:r>
      <w:r>
        <w:rPr>
          <w:rFonts w:ascii="Open Sans" w:hAnsi="Open Sans"/>
          <w:b w:val="0"/>
          <w:i w:val="0"/>
          <w:sz w:val="21"/>
        </w:rPr>
        <w:t>Neither party may cede or assign this agreement without the other's written consent, which will not be unreasonably withheld.</w:t>
      </w:r>
    </w:p>
    <w:p>
      <w:pPr>
        <w:spacing w:after="80"/>
        <w:ind w:left="624" w:hanging="624"/>
        <w:jc w:val="both"/>
      </w:pPr>
      <w:r>
        <w:rPr>
          <w:rFonts w:ascii="Open Sans" w:hAnsi="Open Sans"/>
          <w:b/>
          <w:color w:val="191C4A"/>
          <w:sz w:val="21"/>
        </w:rPr>
        <w:t>18.5</w:t>
        <w:tab/>
      </w:r>
      <w:r>
        <w:rPr>
          <w:rFonts w:ascii="Open Sans" w:hAnsi="Open Sans"/>
          <w:b w:val="0"/>
          <w:i w:val="0"/>
          <w:sz w:val="21"/>
        </w:rPr>
        <w:t>Notices are in writing to the addresses on page 3, by hand, email or registered post. An email is treated as received on the next business day unless a delivery failure is received.</w:t>
      </w:r>
    </w:p>
    <w:p>
      <w:pPr>
        <w:spacing w:after="80"/>
        <w:ind w:left="624" w:hanging="624"/>
        <w:jc w:val="both"/>
      </w:pPr>
      <w:r>
        <w:rPr>
          <w:rFonts w:ascii="Open Sans" w:hAnsi="Open Sans"/>
          <w:b/>
          <w:color w:val="191C4A"/>
          <w:sz w:val="21"/>
        </w:rPr>
        <w:t>18.6</w:t>
        <w:tab/>
      </w:r>
      <w:r>
        <w:rPr>
          <w:rFonts w:ascii="Open Sans" w:hAnsi="Open Sans"/>
          <w:b w:val="0"/>
          <w:i w:val="0"/>
          <w:sz w:val="21"/>
        </w:rPr>
        <w:t>If any provision is unenforceable it is severed and the rest of the agreement stands. Neither party's failure to enforce a right is a waiver of it.</w:t>
      </w:r>
    </w:p>
    <w:p>
      <w:pPr>
        <w:spacing w:after="80"/>
        <w:ind w:left="624" w:hanging="624"/>
        <w:jc w:val="both"/>
      </w:pPr>
      <w:r>
        <w:rPr>
          <w:rFonts w:ascii="Open Sans" w:hAnsi="Open Sans"/>
          <w:b/>
          <w:color w:val="191C4A"/>
          <w:sz w:val="21"/>
        </w:rPr>
        <w:t>18.7</w:t>
        <w:tab/>
      </w:r>
      <w:r>
        <w:rPr>
          <w:rFonts w:ascii="Open Sans" w:hAnsi="Open Sans"/>
          <w:b w:val="0"/>
          <w:i w:val="0"/>
          <w:sz w:val="21"/>
        </w:rPr>
        <w:t xml:space="preserve">This agreement is governed by the law of the Republic of South Africa, and the parties consent to the jurisdiction of the High Court of South Africa, </w:t>
      </w:r>
      <w:r>
        <w:rPr>
          <w:rFonts w:ascii="Open Sans" w:hAnsi="Open Sans"/>
          <w:b w:val="0"/>
          <w:i w:val="0"/>
          <w:color w:val="21759B"/>
          <w:sz w:val="21"/>
        </w:rPr>
        <w:t>[division]</w:t>
      </w:r>
      <w:r>
        <w:rPr>
          <w:rFonts w:ascii="Open Sans" w:hAnsi="Open Sans"/>
          <w:b w:val="0"/>
          <w:i w:val="0"/>
          <w:sz w:val="21"/>
        </w:rPr>
        <w:t>, and of the Magistrates' Court where the amount falls within its jurisdiction.</w:t>
      </w:r>
    </w:p>
    <w:p>
      <w:pPr>
        <w:spacing w:after="80"/>
        <w:ind w:left="624" w:hanging="624"/>
        <w:jc w:val="both"/>
      </w:pPr>
      <w:r>
        <w:rPr>
          <w:rFonts w:ascii="Open Sans" w:hAnsi="Open Sans"/>
          <w:b/>
          <w:color w:val="191C4A"/>
          <w:sz w:val="21"/>
        </w:rPr>
        <w:t>18.8</w:t>
        <w:tab/>
      </w:r>
      <w:r>
        <w:rPr>
          <w:rFonts w:ascii="Open Sans" w:hAnsi="Open Sans"/>
          <w:b w:val="0"/>
          <w:i w:val="0"/>
          <w:sz w:val="21"/>
        </w:rPr>
        <w:t>This agreement may be signed in counterparts. An electronic signature is valid under the Electronic Communications and Transactions Act 25 of 2002.</w:t>
      </w:r>
    </w:p>
    <w:p>
      <w:pPr>
        <w:spacing w:after="120" w:before="200"/>
        <w:jc w:val="both"/>
      </w:pPr>
      <w:r>
        <w:rPr>
          <w:rFonts w:ascii="Open Sans" w:hAnsi="Open Sans"/>
          <w:b w:val="0"/>
          <w:i w:val="0"/>
          <w:sz w:val="21"/>
        </w:rPr>
        <w:t>Both parties confirm that they have read and understood this agreement, including the schedules, and agree to be bound by it.</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SIGNED FOR THE CUSTOMER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SIGNED FOR THE SERVICE PROVIDER</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r>
        <w:br w:type="page"/>
      </w:r>
    </w:p>
    <w:p>
      <w:pPr>
        <w:pStyle w:val="Heading1"/>
      </w:pPr>
      <w:r>
        <w:t>Schedule A: Services, fees and site details</w:t>
      </w:r>
    </w:p>
    <w:p>
      <w:pPr>
        <w:pStyle w:val="Heading3"/>
      </w:pPr>
      <w:r>
        <w:t>A.1 Services included in the monthly fee</w:t>
      </w:r>
    </w:p>
    <w:tbl>
      <w:tblPr>
        <w:tblW w:type="dxa" w:w="9025"/>
        <w:jc w:val="center"/>
        <w:tblLayout w:type="fixed"/>
        <w:tblLook w:firstColumn="1" w:firstRow="1" w:lastColumn="0" w:lastRow="0" w:noHBand="0" w:noVBand="1" w:val="04A0"/>
      </w:tblPr>
      <w:tblGrid>
        <w:gridCol w:w="1985"/>
        <w:gridCol w:w="3429"/>
        <w:gridCol w:w="1985"/>
        <w:gridCol w:w="1624"/>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SERVICE</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COVERS</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INCLUDED QUANTITY OR LIMIT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1]</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[Detailed description]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[Unlimited / X hours / X units]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2]</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[Detailed description]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[Unlimited / X hours / X units]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[Service 3]</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[Detailed description]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[Unlimited / X hours / X units]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pStyle w:val="Heading3"/>
      </w:pPr>
      <w:r>
        <w:t>A.2 Fees</w:t>
      </w:r>
    </w:p>
    <w:tbl>
      <w:tblPr>
        <w:tblW w:type="dxa" w:w="9025"/>
        <w:jc w:val="center"/>
        <w:tblLayout w:type="fixed"/>
        <w:tblLook w:firstColumn="1" w:firstRow="1" w:lastColumn="0" w:lastRow="0" w:noHBand="0" w:noVBand="1" w:val="04A0"/>
      </w:tblPr>
      <w:tblGrid>
        <w:gridCol w:w="3971"/>
        <w:gridCol w:w="2527"/>
        <w:gridCol w:w="2527"/>
      </w:tblGrid>
      <w:tr>
        <w:trPr>
          <w:tblHeader w:val="true"/>
        </w:trPr>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 EXCLUDING VAT</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BASIS</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Base monthly fee</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Monthly in advance</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After hours support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per hour</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Per call, invoiced monthly</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Emergency call out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per call</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Outside the service window</w:t>
            </w: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Ad hoc or out of scope work</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r>
              <w:rPr>
                <w:rFonts w:ascii="Open Sans" w:hAnsi="Open Sans"/>
                <w:b w:val="0"/>
                <w:i w:val="0"/>
                <w:sz w:val="18"/>
              </w:rPr>
              <w:t xml:space="preserve"> per hour</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 an approved quote</w:t>
            </w: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monthly fee, excluding VAT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 at 15%, if the service provider is registered</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monthly fee, including VAT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3"/>
      </w:pPr>
      <w:r>
        <w:t>A.3 Sites, power and connectivity</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Customer site and load shedding block</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w:t>
            </w:r>
            <w:r>
              <w:rPr>
                <w:rFonts w:ascii="Open Sans" w:hAnsi="Open Sans"/>
                <w:b w:val="0"/>
                <w:i w:val="0"/>
                <w:sz w:val="21"/>
              </w:rPr>
              <w:t xml:space="preserve"> | </w:t>
            </w:r>
            <w:r>
              <w:rPr>
                <w:rFonts w:ascii="Open Sans" w:hAnsi="Open Sans"/>
                <w:b w:val="0"/>
                <w:i w:val="0"/>
                <w:color w:val="21759B"/>
                <w:sz w:val="21"/>
              </w:rPr>
              <w:t>[Municipality and block number, for example City of Cape Town block 8]</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Customer backup power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[None / UPS / inverter / generator, and runtime]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Service provider site and block</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w:t>
            </w:r>
            <w:r>
              <w:rPr>
                <w:rFonts w:ascii="Open Sans" w:hAnsi="Open Sans"/>
                <w:b w:val="0"/>
                <w:i w:val="0"/>
                <w:sz w:val="21"/>
              </w:rPr>
              <w:t xml:space="preserve"> | </w:t>
            </w:r>
            <w:r>
              <w:rPr>
                <w:rFonts w:ascii="Open Sans" w:hAnsi="Open Sans"/>
                <w:b w:val="0"/>
                <w:i w:val="0"/>
                <w:color w:val="21759B"/>
                <w:sz w:val="21"/>
              </w:rPr>
              <w:t>[Municipality and block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Service provider backup power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[UPS and inverter, four hours, or generator]</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Third party dependencies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[Fibre provider, cloud platform, payment gateway, and who owns each relationship]</w:t>
            </w:r>
          </w:p>
        </w:tc>
      </w:tr>
    </w:tbl>
    <w:p>
      <w:pPr>
        <w:pStyle w:val="Heading3"/>
      </w:pPr>
      <w:r>
        <w:t>A.4 Acceptance and reporting</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Support channel of record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[Ticket system URL / support email address]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Monthly report due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By the </w:t>
            </w:r>
            <w:r>
              <w:rPr>
                <w:rFonts w:ascii="Open Sans" w:hAnsi="Open Sans"/>
                <w:b w:val="0"/>
                <w:i w:val="0"/>
                <w:color w:val="21759B"/>
                <w:sz w:val="21"/>
              </w:rPr>
              <w:t>[5th]</w:t>
            </w:r>
            <w:r>
              <w:rPr>
                <w:rFonts w:ascii="Open Sans" w:hAnsi="Open Sans"/>
                <w:b w:val="0"/>
                <w:i w:val="0"/>
                <w:sz w:val="21"/>
              </w:rPr>
              <w:t xml:space="preserve"> business day of the following month</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Operational review</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Monthly, on the </w:t>
            </w:r>
            <w:r>
              <w:rPr>
                <w:rFonts w:ascii="Open Sans" w:hAnsi="Open Sans"/>
                <w:b w:val="0"/>
                <w:i w:val="0"/>
                <w:color w:val="21759B"/>
                <w:sz w:val="21"/>
              </w:rPr>
              <w:t>[second]</w:t>
            </w:r>
            <w:r>
              <w:rPr>
                <w:rFonts w:ascii="Open Sans" w:hAnsi="Open Sans"/>
                <w:b w:val="0"/>
                <w:i w:val="0"/>
                <w:sz w:val="21"/>
              </w:rPr>
              <w:t xml:space="preserve"> Tuesday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review</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[Quarterly]</w:t>
            </w:r>
          </w:p>
        </w:tc>
      </w:tr>
    </w:tbl>
    <w:p>
      <w:r>
        <w:br w:type="page"/>
      </w:r>
    </w:p>
    <w:p>
      <w:pPr>
        <w:pStyle w:val="Heading1"/>
      </w:pPr>
      <w:r>
        <w:t>Schedule B: Incident log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Use one of these for every incident, or configure your ticket system to capture the same fields. Keep the logs for at least 12 months. They are what the monthly report is built from, and they are the evidence if a service credit is disputed.</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Reference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[Sequential or ticket system reference]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Logged on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Logged by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contact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Priority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[P1 / P2 / P3 / P4]</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Service affected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[System, site or component]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Description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is happening, including the exact error message]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impact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[How many users, what cannot be done, is there a workaround]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Acknowledged on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r>
              <w:rPr>
                <w:rFonts w:ascii="Open Sans" w:hAnsi="Open Sans"/>
                <w:b w:val="0"/>
                <w:i w:val="0"/>
                <w:sz w:val="21"/>
              </w:rPr>
              <w:t xml:space="preserve"> by </w:t>
            </w:r>
            <w:r>
              <w:rPr>
                <w:rFonts w:ascii="Open Sans" w:hAnsi="Open Sans"/>
                <w:b w:val="0"/>
                <w:i w:val="0"/>
                <w:color w:val="21759B"/>
                <w:sz w:val="21"/>
              </w:rPr>
              <w:t>[name]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Response time achieved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[Hours and minutes]</w:t>
            </w:r>
            <w:r>
              <w:rPr>
                <w:rFonts w:ascii="Open Sans" w:hAnsi="Open Sans"/>
                <w:b w:val="0"/>
                <w:i w:val="0"/>
                <w:sz w:val="21"/>
              </w:rPr>
              <w:t xml:space="preserve"> | Target met? </w:t>
            </w:r>
            <w:r>
              <w:rPr>
                <w:rFonts w:ascii="Open Sans" w:hAnsi="Open Sans"/>
                <w:b w:val="0"/>
                <w:i w:val="0"/>
                <w:color w:val="21759B"/>
                <w:sz w:val="21"/>
              </w:rPr>
              <w:t>[Yes / No]</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Investigation and actions taken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was found and what was done]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Resolved 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r>
              <w:rPr>
                <w:rFonts w:ascii="Open Sans" w:hAnsi="Open Sans"/>
                <w:b w:val="0"/>
                <w:i w:val="0"/>
                <w:sz w:val="21"/>
              </w:rPr>
              <w:t xml:space="preserve"> by </w:t>
            </w:r>
            <w:r>
              <w:rPr>
                <w:rFonts w:ascii="Open Sans" w:hAnsi="Open Sans"/>
                <w:b w:val="0"/>
                <w:i w:val="0"/>
                <w:color w:val="21759B"/>
                <w:sz w:val="21"/>
              </w:rPr>
              <w:t>[name]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Resolution time achieved</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[Hours and minutes]</w:t>
            </w:r>
            <w:r>
              <w:rPr>
                <w:rFonts w:ascii="Open Sans" w:hAnsi="Open Sans"/>
                <w:b w:val="0"/>
                <w:i w:val="0"/>
                <w:sz w:val="21"/>
              </w:rPr>
              <w:t xml:space="preserve"> | Target met? </w:t>
            </w:r>
            <w:r>
              <w:rPr>
                <w:rFonts w:ascii="Open Sans" w:hAnsi="Open Sans"/>
                <w:b w:val="0"/>
                <w:i w:val="0"/>
                <w:color w:val="21759B"/>
                <w:sz w:val="21"/>
              </w:rPr>
              <w:t>[Yes / No]</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power or connectivity a factor?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 / Scheduled load shedding, block and time / Loss of supply event]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Root cause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underlying cause, not the symptom]</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Preventive action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[What will stop it happening again, and by when]</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Service credit due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None, or </w:t>
            </w:r>
            <w:r>
              <w:rPr>
                <w:rFonts w:ascii="Open Sans" w:hAnsi="Open Sans"/>
                <w:b w:val="0"/>
                <w:i w:val="0"/>
                <w:color w:val="21759B"/>
                <w:sz w:val="21"/>
              </w:rPr>
              <w:t>[percentage]</w:t>
            </w:r>
            <w:r>
              <w:rPr>
                <w:rFonts w:ascii="Open Sans" w:hAnsi="Open Sans"/>
                <w:b w:val="0"/>
                <w:i w:val="0"/>
                <w:sz w:val="21"/>
              </w:rPr>
              <w:t>% of the monthly fee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Closed and signed off by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[Customer contact name]</w:t>
            </w:r>
            <w:r>
              <w:rPr>
                <w:rFonts w:ascii="Open Sans" w:hAnsi="Open Sans"/>
                <w:b w:val="0"/>
                <w:i w:val="0"/>
                <w:sz w:val="21"/>
              </w:rPr>
              <w:t xml:space="preserve"> on </w:t>
            </w:r>
            <w:r>
              <w:rPr>
                <w:rFonts w:ascii="Open Sans" w:hAnsi="Open Sans"/>
                <w:b w:val="0"/>
                <w:i w:val="0"/>
                <w:color w:val="21759B"/>
                <w:sz w:val="21"/>
              </w:rPr>
              <w:t>[DD Month YYYY]</w:t>
            </w:r>
          </w:p>
        </w:tc>
      </w:tr>
    </w:tbl>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