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MEMORANDUM OF INCORPORATION</w:t>
      </w:r>
    </w:p>
    <w:p>
      <w:pPr>
        <w:spacing w:before="0" w:after="160"/>
        <w:keepNext/>
      </w:pPr>
      <w:r>
        <w:rPr>
          <w:rFonts w:ascii="Open Sans" w:hAnsi="Open Sans"/>
          <w:color w:val="6B6870"/>
          <w:sz w:val="20"/>
        </w:rPr>
        <w:t>A customised MOI for a private company, in terms of the Companies Act 71 of 2008</w:t>
      </w:r>
    </w:p>
    <w:p>
      <w:pPr>
        <w:spacing w:before="0" w:after="200"/>
        <w:pBdr>
          <w:bottom w:val="single" w:sz="12" w:space="1" w:color="D7B428"/>
        </w:pBdr>
      </w:pP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Have this MOI read by an attorney or a company secretary before you sign it and lodge it. An MOI is the company's constitution. It binds the company, every shareholder, every director and anyone else who takes a right under it, and any clause that conflicts with the Companies Act is void to that extent. This template is a sound starting point drafted for a small private company. It is not advice on your own facts, and the cost of an hour of an attorney's time is small next to the cost of a governance clause that does not work.</w:t>
      </w:r>
    </w:p>
    <w:p>
      <w:pPr>
        <w:pStyle w:val="Heading2"/>
      </w:pPr>
      <w:r>
        <w:t>Do you actually need a customised MOI?</w:t>
      </w:r>
    </w:p>
    <w:p>
      <w:pPr>
        <w:spacing w:after="120" w:before="0"/>
        <w:jc w:val="both"/>
      </w:pPr>
      <w:r>
        <w:rPr>
          <w:rFonts w:ascii="Open Sans" w:hAnsi="Open Sans"/>
          <w:b w:val="0"/>
          <w:i w:val="0"/>
          <w:sz w:val="21"/>
        </w:rPr>
        <w:t>Most small private companies do not, and we would rather tell you that than sell you a document you do not need. When you register a company you must file an MOI with the Notice of Incorporation. If you do not want a bespoke one, you file one of CIPC's pre-printed standard forms. The short standard form for a private company (CoR 15.1A) covers the ordinary case perfectly well, it is the cheapest option, and it registers electronically.</w:t>
      </w:r>
    </w:p>
    <w:p>
      <w:pPr>
        <w:spacing w:after="120" w:before="0"/>
        <w:jc w:val="both"/>
      </w:pPr>
      <w:r>
        <w:rPr>
          <w:rFonts w:ascii="Open Sans" w:hAnsi="Open Sans"/>
          <w:b w:val="0"/>
          <w:i w:val="0"/>
          <w:sz w:val="21"/>
        </w:rPr>
        <w:t>Use a customised MOI, which is what this document is, only when you need something the standard form does not give you:</w:t>
      </w:r>
    </w:p>
    <w:p>
      <w:pPr>
        <w:pStyle w:val="ListBullet"/>
        <w:spacing w:after="60"/>
        <w:ind w:left="340"/>
      </w:pPr>
      <w:r>
        <w:rPr>
          <w:rFonts w:ascii="Open Sans" w:hAnsi="Open Sans"/>
          <w:b w:val="0"/>
          <w:i w:val="0"/>
          <w:sz w:val="21"/>
        </w:rPr>
        <w:t>You want to ring fence the company's capacity or powers, which restricts what the company may lawfully do and adds "RF" to its name.</w:t>
      </w:r>
    </w:p>
    <w:p>
      <w:pPr>
        <w:pStyle w:val="ListBullet"/>
        <w:spacing w:after="60"/>
        <w:ind w:left="340"/>
      </w:pPr>
      <w:r>
        <w:rPr>
          <w:rFonts w:ascii="Open Sans" w:hAnsi="Open Sans"/>
          <w:b w:val="0"/>
          <w:i w:val="0"/>
          <w:sz w:val="21"/>
        </w:rPr>
        <w:t>You want an audit written into the MOI even though the company would not otherwise need one, usually because a funder, a franchisor or a tender requires audited financial statements.</w:t>
      </w:r>
    </w:p>
    <w:p>
      <w:pPr>
        <w:pStyle w:val="ListBullet"/>
        <w:spacing w:after="60"/>
        <w:ind w:left="340"/>
      </w:pPr>
      <w:r>
        <w:rPr>
          <w:rFonts w:ascii="Open Sans" w:hAnsi="Open Sans"/>
          <w:b w:val="0"/>
          <w:i w:val="0"/>
          <w:sz w:val="21"/>
        </w:rPr>
        <w:t>You want quorum or voting thresholds that differ from the defaults in the Act, for example a higher percentage to pass a special resolution.</w:t>
      </w:r>
    </w:p>
    <w:p>
      <w:pPr>
        <w:pStyle w:val="ListBullet"/>
        <w:spacing w:after="60"/>
        <w:ind w:left="340"/>
      </w:pPr>
      <w:r>
        <w:rPr>
          <w:rFonts w:ascii="Open Sans" w:hAnsi="Open Sans"/>
          <w:b w:val="0"/>
          <w:i w:val="0"/>
          <w:sz w:val="21"/>
        </w:rPr>
        <w:t>You want a person to be a director automatically by virtue of holding an office or a shareholding, which is an ex officio appointment.</w:t>
      </w:r>
    </w:p>
    <w:p>
      <w:pPr>
        <w:pStyle w:val="ListBullet"/>
        <w:spacing w:after="60"/>
        <w:ind w:left="340"/>
      </w:pPr>
      <w:r>
        <w:rPr>
          <w:rFonts w:ascii="Open Sans" w:hAnsi="Open Sans"/>
          <w:b w:val="0"/>
          <w:i w:val="0"/>
          <w:sz w:val="21"/>
        </w:rPr>
        <w:t>You want pre-emptive rights on share transfers built into the constitution itself, so that a transfer in breach of them is void and not merely a breach of contract.</w:t>
      </w:r>
    </w:p>
    <w:p>
      <w:pPr>
        <w:pStyle w:val="ListBullet"/>
        <w:spacing w:after="60"/>
        <w:ind w:left="340"/>
      </w:pPr>
      <w:r>
        <w:rPr>
          <w:rFonts w:ascii="Open Sans" w:hAnsi="Open Sans"/>
          <w:b w:val="0"/>
          <w:i w:val="0"/>
          <w:sz w:val="21"/>
        </w:rPr>
        <w:t>You want to entrench provisions under section 15(2)(c), so that certain clauses can only be changed by a higher majority than a special resolution.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none of those apply to you, register on the standard form and put your commercial arrangements between the owners into a shareholders agreement instead. That is cheaper, it registers instantly, and it is far easier to change later. A shareholders agreement may not contradict the MOI or the Act, so if a protection really matters, it belongs in the MOI as well.</w:t>
      </w:r>
    </w:p>
    <w:p>
      <w:pPr>
        <w:pStyle w:val="Heading2"/>
      </w:pPr>
      <w:r>
        <w:t>How this document is filed, and what it costs</w:t>
      </w:r>
    </w:p>
    <w:tbl>
      <w:tblPr>
        <w:tblW w:type="dxa" w:w="9025"/>
        <w:jc w:val="center"/>
        <w:tblLayout w:type="fixed"/>
        <w:tblLook w:firstColumn="1" w:firstRow="1" w:lastColumn="0" w:lastRow="0" w:noHBand="0" w:noVBand="1" w:val="04A0"/>
      </w:tblPr>
      <w:tblGrid>
        <w:gridCol w:w="2346"/>
        <w:gridCol w:w="2346"/>
        <w:gridCol w:w="1805"/>
        <w:gridCol w:w="2527"/>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LODGE</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FORM</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CIPC FEE</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IT IS LODGED</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Standard MOI, short standard form for a private company</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CoR 15.1A, lodged with the CoR 14.1 Notice of Incorporation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R125, or R175 if you reserve a name at the same time</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Electronically. BizPortal handles this route end to end</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Customised MOI, which is what this document is</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company's own document, lodged with the CoR 14.1 Notice of Incorporation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R475</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Manually. CIPC does not currently accept a customised MOI electronically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Name reservation on its own</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CoR 9.1</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R50 online, R75 on paper</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Online, up to four names per application</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Amendment of the MOI after registration</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CoR 15.2</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Confirm the current fee on cipc.co.za</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Takes effect 10 business days after CIPC receives it, unless CIPC endorses it earlier</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customised MOI cannot be lodged through BizPortal. BizPortal registers a company on a pre-printed standard form. If you want the document in front of you to be your company's MOI, you lodge it together with the CoR 14.1 Notice of Incorporation and pay R475, and at present that lodgement is manual with roughly a five working day turnaround.</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We do not quote a CoR 15.1 form number for a customised MOI. There is no dedicated pre-printed form for a bespoke document, and CIPC's own pages disagree with the published form schedules about which number applies. Ask CIPC what they want on the day you lodge, and lodge with the CoR 14.1.</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r>
        <w:br w:type="page"/>
      </w:r>
    </w:p>
    <w:p>
      <w:pPr>
        <w:pStyle w:val="Heading1"/>
      </w:pPr>
      <w:r>
        <w:t>Company particulars</w:t>
      </w:r>
    </w:p>
    <w:p>
      <w:pPr>
        <w:spacing w:after="120" w:before="0"/>
        <w:jc w:val="both"/>
      </w:pPr>
      <w:r>
        <w:rPr>
          <w:rFonts w:ascii="Open Sans" w:hAnsi="Open Sans"/>
          <w:b w:val="0"/>
          <w:i w:val="0"/>
          <w:sz w:val="21"/>
        </w:rPr>
        <w:t>Fill this in first. Everything here also has to appear on the CoR 14.1 Notice of Incorporation, so getting it right once saves you doing it twice.</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Registered company name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w:t>
            </w:r>
            <w:r>
              <w:rPr>
                <w:rFonts w:ascii="Open Sans" w:hAnsi="Open Sans"/>
                <w:b w:val="0"/>
                <w:i w:val="0"/>
                <w:sz w:val="21"/>
              </w:rPr>
              <w:t xml:space="preserve"> (Proprietary) Limited</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Short form of the name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w:t>
            </w:r>
            <w:r>
              <w:rPr>
                <w:rFonts w:ascii="Open Sans" w:hAnsi="Open Sans"/>
                <w:b w:val="0"/>
                <w:i w:val="0"/>
                <w:sz w:val="21"/>
              </w:rPr>
              <w:t xml:space="preserve"> (Pty) Ltd</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Trading name, if different</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[TRADING NAME]</w:t>
            </w:r>
            <w:r>
              <w:rPr>
                <w:rFonts w:ascii="Open Sans" w:hAnsi="Open Sans"/>
                <w:b w:val="0"/>
                <w:i w:val="0"/>
                <w:sz w:val="21"/>
              </w:rPr>
              <w:t xml:space="preserve"> (this is a trading name only, see clause 4.5)</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[2026/XXXXXX/07]</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incorporation</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Registered office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address, suburb, city, province, postal code]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Postal address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[Postal address or the same as the registered office]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Financial year end</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[28 February]</w:t>
            </w:r>
            <w:r>
              <w:rPr>
                <w:rFonts w:ascii="Open Sans" w:hAnsi="Open Sans"/>
                <w:b w:val="0"/>
                <w:i w:val="0"/>
                <w:sz w:val="21"/>
              </w:rPr>
              <w:t xml:space="preserve"> or </w:t>
            </w:r>
            <w:r>
              <w:rPr>
                <w:rFonts w:ascii="Open Sans" w:hAnsi="Open Sans"/>
                <w:b w:val="0"/>
                <w:i w:val="0"/>
                <w:color w:val="21759B"/>
                <w:sz w:val="21"/>
              </w:rPr>
              <w:t>[31 August]</w:t>
            </w:r>
            <w:r>
              <w:rPr>
                <w:rFonts w:ascii="Open Sans" w:hAnsi="Open Sans"/>
                <w:b w:val="0"/>
                <w:i w:val="0"/>
                <w:sz w:val="21"/>
              </w:rPr>
              <w:t xml:space="preserve"> or </w:t>
            </w:r>
            <w:r>
              <w:rPr>
                <w:rFonts w:ascii="Open Sans" w:hAnsi="Open Sans"/>
                <w:b w:val="0"/>
                <w:i w:val="0"/>
                <w:color w:val="21759B"/>
                <w:sz w:val="21"/>
              </w:rPr>
              <w:t>[specify]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Number of directors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Minimum </w:t>
            </w:r>
            <w:r>
              <w:rPr>
                <w:rFonts w:ascii="Open Sans" w:hAnsi="Open Sans"/>
                <w:b w:val="0"/>
                <w:i w:val="0"/>
                <w:color w:val="21759B"/>
                <w:sz w:val="21"/>
              </w:rPr>
              <w:t>[2]</w:t>
            </w:r>
            <w:r>
              <w:rPr>
                <w:rFonts w:ascii="Open Sans" w:hAnsi="Open Sans"/>
                <w:b w:val="0"/>
                <w:i w:val="0"/>
                <w:sz w:val="21"/>
              </w:rPr>
              <w:t xml:space="preserve">, maximum </w:t>
            </w:r>
            <w:r>
              <w:rPr>
                <w:rFonts w:ascii="Open Sans" w:hAnsi="Open Sans"/>
                <w:b w:val="0"/>
                <w:i w:val="0"/>
                <w:color w:val="21759B"/>
                <w:sz w:val="21"/>
              </w:rPr>
              <w:t>[5]</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Authorised shares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[1 000]</w:t>
            </w:r>
            <w:r>
              <w:rPr>
                <w:rFonts w:ascii="Open Sans" w:hAnsi="Open Sans"/>
                <w:b w:val="0"/>
                <w:i w:val="0"/>
                <w:sz w:val="21"/>
              </w:rPr>
              <w:t xml:space="preserve"> ordinary shares of no par value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Incorporators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names of every person incorporating the company]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Is the company ring fenced?</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[No]</w:t>
            </w:r>
            <w:r>
              <w:rPr>
                <w:rFonts w:ascii="Open Sans" w:hAnsi="Open Sans"/>
                <w:b w:val="0"/>
                <w:i w:val="0"/>
                <w:sz w:val="21"/>
              </w:rPr>
              <w:t xml:space="preserve"> or </w:t>
            </w:r>
            <w:r>
              <w:rPr>
                <w:rFonts w:ascii="Open Sans" w:hAnsi="Open Sans"/>
                <w:b w:val="0"/>
                <w:i w:val="0"/>
                <w:color w:val="21759B"/>
                <w:sz w:val="21"/>
              </w:rPr>
              <w:t>[Yes, see clauses 5 and 6]</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registered office is where CIPC, SARS and the sheriff of the court will serve documents. Use an address where someone actually opens the post. A great many small companies are deregistered or default on court process because notices went to an address nobody checks.</w:t>
      </w:r>
    </w:p>
    <w:p>
      <w:r>
        <w:br w:type="page"/>
      </w:r>
    </w:p>
    <w:p>
      <w:pPr>
        <w:pStyle w:val="Heading1"/>
      </w:pPr>
      <w:r>
        <w:t>Part 1: Interpretation</w:t>
      </w:r>
    </w:p>
    <w:p>
      <w:pPr>
        <w:keepNext/>
        <w:spacing w:before="200" w:after="60"/>
      </w:pPr>
      <w:r>
        <w:rPr>
          <w:rFonts w:ascii="Montserrat" w:hAnsi="Montserrat"/>
          <w:b/>
          <w:color w:val="191C4A"/>
          <w:sz w:val="21"/>
        </w:rPr>
        <w:t>1. DEFINITIONS</w:t>
      </w:r>
    </w:p>
    <w:p>
      <w:pPr>
        <w:spacing w:after="80" w:before="0"/>
        <w:jc w:val="both"/>
      </w:pPr>
      <w:r>
        <w:rPr>
          <w:rFonts w:ascii="Open Sans" w:hAnsi="Open Sans"/>
          <w:b w:val="0"/>
          <w:i w:val="0"/>
          <w:sz w:val="21"/>
        </w:rPr>
        <w:t>In this MOI the following words have the meanings set out below, unless the context clearly shows otherwise.</w:t>
      </w:r>
    </w:p>
    <w:tbl>
      <w:tblPr>
        <w:tblW w:type="dxa" w:w="9025"/>
        <w:jc w:val="center"/>
        <w:tblLayout w:type="fixed"/>
        <w:tblLook w:firstColumn="1" w:firstRow="1" w:lastColumn="0" w:lastRow="0" w:noHBand="0" w:noVBand="1" w:val="04A0"/>
      </w:tblPr>
      <w:tblGrid>
        <w:gridCol w:w="2166"/>
        <w:gridCol w:w="6859"/>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TERM</w:t>
            </w:r>
          </w:p>
        </w:tc>
        <w:tc>
          <w:tcPr>
            <w:tcW w:type="dxa" w:w="686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MEANING</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the Act</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Companies Act 71 of 2008, as amended, read with the Companies Regulations made under it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Board</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board of directors of the Company</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business day</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Any day other than a Saturday, Sunday or public holiday in the Republic of South Africa</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CIPC</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Companies and Intellectual Property Commission</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the Company</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REGISTERED NAME]</w:t>
            </w:r>
            <w:r>
              <w:rPr>
                <w:rFonts w:ascii="Open Sans" w:hAnsi="Open Sans"/>
                <w:b w:val="0"/>
                <w:i w:val="0"/>
                <w:sz w:val="19"/>
              </w:rPr>
              <w:t xml:space="preserve"> (Proprietary) Limited, registration number </w:t>
            </w:r>
            <w:r>
              <w:rPr>
                <w:rFonts w:ascii="Open Sans" w:hAnsi="Open Sans"/>
                <w:b w:val="0"/>
                <w:i w:val="0"/>
                <w:color w:val="21759B"/>
                <w:sz w:val="19"/>
              </w:rPr>
              <w:t>[2026/XXXXXX/07]</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director</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member of the Board, including an ex officio director and an alternate director while acting as such</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MOI</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This Memorandum of Incorporation, as amended from time to time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ordinary resolution</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resolution supported by more than 50% of the voting rights exercised on it, unless this MOI sets a higher percentage for a particular matter</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securities</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Any shares or other instruments issued or authorised to be issued by the Company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shareholder</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registered holder of any issued securities of the Company</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special resolution</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resolution supported by at least 75% of the voting rights exercised on it, unless this MOI sets a higher percentage for a particular matter</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solvency and liquidity test</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test set out in section 4 of the Act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writing</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Any legible written form, including electronic communication as permitted by the Electronic Communications and Transactions Act 25 of 2002</w:t>
            </w:r>
          </w:p>
        </w:tc>
      </w:tr>
    </w:tbl>
    <w:p>
      <w:pPr>
        <w:keepNext/>
        <w:spacing w:before="200" w:after="60"/>
      </w:pPr>
      <w:r>
        <w:rPr>
          <w:rFonts w:ascii="Montserrat" w:hAnsi="Montserrat"/>
          <w:b/>
          <w:color w:val="191C4A"/>
          <w:sz w:val="21"/>
        </w:rPr>
        <w:t>2. INTERPRETATION</w:t>
      </w:r>
    </w:p>
    <w:p>
      <w:pPr>
        <w:spacing w:after="80"/>
        <w:ind w:left="624" w:hanging="624"/>
        <w:jc w:val="both"/>
      </w:pPr>
      <w:r>
        <w:rPr>
          <w:rFonts w:ascii="Open Sans" w:hAnsi="Open Sans"/>
          <w:b/>
          <w:color w:val="191C4A"/>
          <w:sz w:val="21"/>
        </w:rPr>
        <w:t>2.1</w:t>
        <w:tab/>
      </w:r>
      <w:r>
        <w:rPr>
          <w:rFonts w:ascii="Open Sans" w:hAnsi="Open Sans"/>
          <w:b w:val="0"/>
          <w:i w:val="0"/>
          <w:sz w:val="21"/>
        </w:rPr>
        <w:t>Words in one gender include the other genders, and words in the singular include the plural and the other way round.</w:t>
      </w:r>
    </w:p>
    <w:p>
      <w:pPr>
        <w:spacing w:after="80"/>
        <w:ind w:left="624" w:hanging="624"/>
        <w:jc w:val="both"/>
      </w:pPr>
      <w:r>
        <w:rPr>
          <w:rFonts w:ascii="Open Sans" w:hAnsi="Open Sans"/>
          <w:b/>
          <w:color w:val="191C4A"/>
          <w:sz w:val="21"/>
        </w:rPr>
        <w:t>2.2</w:t>
        <w:tab/>
      </w:r>
      <w:r>
        <w:rPr>
          <w:rFonts w:ascii="Open Sans" w:hAnsi="Open Sans"/>
          <w:b w:val="0"/>
          <w:i w:val="0"/>
          <w:sz w:val="21"/>
        </w:rPr>
        <w:t>A reference to a statute includes any amendment to it or re-enactment of it.</w:t>
      </w:r>
    </w:p>
    <w:p>
      <w:pPr>
        <w:spacing w:after="80"/>
        <w:ind w:left="624" w:hanging="624"/>
        <w:jc w:val="both"/>
      </w:pPr>
      <w:r>
        <w:rPr>
          <w:rFonts w:ascii="Open Sans" w:hAnsi="Open Sans"/>
          <w:b/>
          <w:color w:val="191C4A"/>
          <w:sz w:val="21"/>
        </w:rPr>
        <w:t>2.3</w:t>
        <w:tab/>
      </w:r>
      <w:r>
        <w:rPr>
          <w:rFonts w:ascii="Open Sans" w:hAnsi="Open Sans"/>
          <w:b w:val="0"/>
          <w:i w:val="0"/>
          <w:sz w:val="21"/>
        </w:rPr>
        <w:t>Headings are for convenience and do not affect the meaning of this MOI.</w:t>
      </w:r>
    </w:p>
    <w:p>
      <w:pPr>
        <w:spacing w:after="80"/>
        <w:ind w:left="624" w:hanging="624"/>
        <w:jc w:val="both"/>
      </w:pPr>
      <w:r>
        <w:rPr>
          <w:rFonts w:ascii="Open Sans" w:hAnsi="Open Sans"/>
          <w:b/>
          <w:color w:val="191C4A"/>
          <w:sz w:val="21"/>
        </w:rPr>
        <w:t>2.4</w:t>
        <w:tab/>
      </w:r>
      <w:r>
        <w:rPr>
          <w:rFonts w:ascii="Open Sans" w:hAnsi="Open Sans"/>
          <w:b w:val="0"/>
          <w:i w:val="0"/>
          <w:sz w:val="21"/>
        </w:rPr>
        <w:t>Where a period is set in business days, the first day is excluded and the last day is included.</w:t>
      </w:r>
    </w:p>
    <w:p>
      <w:pPr>
        <w:spacing w:after="80"/>
        <w:ind w:left="624" w:hanging="624"/>
        <w:jc w:val="both"/>
      </w:pPr>
      <w:r>
        <w:rPr>
          <w:rFonts w:ascii="Open Sans" w:hAnsi="Open Sans"/>
          <w:b/>
          <w:color w:val="191C4A"/>
          <w:sz w:val="21"/>
        </w:rPr>
        <w:t>2.5</w:t>
        <w:tab/>
      </w:r>
      <w:r>
        <w:rPr>
          <w:rFonts w:ascii="Open Sans" w:hAnsi="Open Sans"/>
          <w:b w:val="0"/>
          <w:i w:val="0"/>
          <w:sz w:val="21"/>
        </w:rPr>
        <w:t>If any provision of this MOI is void or unenforceable, it is severed and the rest of this MOI continues to apply.</w:t>
      </w:r>
    </w:p>
    <w:p>
      <w:pPr>
        <w:keepNext/>
        <w:spacing w:before="200" w:after="60"/>
      </w:pPr>
      <w:r>
        <w:rPr>
          <w:rFonts w:ascii="Montserrat" w:hAnsi="Montserrat"/>
          <w:b/>
          <w:color w:val="191C4A"/>
          <w:sz w:val="21"/>
        </w:rPr>
        <w:t>3. STATUS OF THIS MOI</w:t>
      </w:r>
    </w:p>
    <w:p>
      <w:pPr>
        <w:spacing w:after="80"/>
        <w:ind w:left="624" w:hanging="624"/>
        <w:jc w:val="both"/>
      </w:pPr>
      <w:r>
        <w:rPr>
          <w:rFonts w:ascii="Open Sans" w:hAnsi="Open Sans"/>
          <w:b/>
          <w:color w:val="191C4A"/>
          <w:sz w:val="21"/>
        </w:rPr>
        <w:t>3.1</w:t>
        <w:tab/>
      </w:r>
      <w:r>
        <w:rPr>
          <w:rFonts w:ascii="Open Sans" w:hAnsi="Open Sans"/>
          <w:b w:val="0"/>
          <w:i w:val="0"/>
          <w:sz w:val="21"/>
        </w:rPr>
        <w:t>This MOI is the sole governing document of the Company, as contemplated in section 15(1) of the Act. Any rule made by the Board under section 15(3) and any shareholders agreement must be consistent with the Act and with this MOI, and is void to the extent that it is not.</w:t>
      </w:r>
    </w:p>
    <w:p>
      <w:pPr>
        <w:spacing w:after="80"/>
        <w:ind w:left="624" w:hanging="624"/>
        <w:jc w:val="both"/>
      </w:pPr>
      <w:r>
        <w:rPr>
          <w:rFonts w:ascii="Open Sans" w:hAnsi="Open Sans"/>
          <w:b/>
          <w:color w:val="191C4A"/>
          <w:sz w:val="21"/>
        </w:rPr>
        <w:t>3.2</w:t>
        <w:tab/>
      </w:r>
      <w:r>
        <w:rPr>
          <w:rFonts w:ascii="Open Sans" w:hAnsi="Open Sans"/>
          <w:b w:val="0"/>
          <w:i w:val="0"/>
          <w:sz w:val="21"/>
        </w:rPr>
        <w:t>This MOI binds the Company and each shareholder, the shareholders among themselves, and the Company and each director or prescribed officer in the exercise of their functions, as set out in section 15(6) of the Act.</w:t>
      </w:r>
    </w:p>
    <w:p>
      <w:pPr>
        <w:spacing w:after="80"/>
        <w:ind w:left="624" w:hanging="624"/>
        <w:jc w:val="both"/>
      </w:pPr>
      <w:r>
        <w:rPr>
          <w:rFonts w:ascii="Open Sans" w:hAnsi="Open Sans"/>
          <w:b/>
          <w:color w:val="191C4A"/>
          <w:sz w:val="21"/>
        </w:rPr>
        <w:t>3.3</w:t>
        <w:tab/>
      </w:r>
      <w:r>
        <w:rPr>
          <w:rFonts w:ascii="Open Sans" w:hAnsi="Open Sans"/>
          <w:b w:val="0"/>
          <w:i w:val="0"/>
          <w:sz w:val="21"/>
        </w:rPr>
        <w:t>Where this MOI is silent, the default provisions of the Act apply.</w:t>
      </w:r>
    </w:p>
    <w:p>
      <w:pPr>
        <w:spacing w:after="80"/>
        <w:ind w:left="624" w:hanging="624"/>
        <w:jc w:val="both"/>
      </w:pPr>
      <w:r>
        <w:rPr>
          <w:rFonts w:ascii="Open Sans" w:hAnsi="Open Sans"/>
          <w:b/>
          <w:color w:val="191C4A"/>
          <w:sz w:val="21"/>
        </w:rPr>
        <w:t>3.4</w:t>
        <w:tab/>
      </w:r>
      <w:r>
        <w:rPr>
          <w:rFonts w:ascii="Open Sans" w:hAnsi="Open Sans"/>
          <w:b w:val="0"/>
          <w:i w:val="0"/>
          <w:sz w:val="21"/>
        </w:rPr>
        <w:t>This MOI takes effect on the date the Company is registered by CIPC.</w:t>
      </w:r>
    </w:p>
    <w:p>
      <w:pPr>
        <w:pStyle w:val="Heading1"/>
      </w:pPr>
      <w:r>
        <w:t>Part 2: Incorporation, name and capacity</w:t>
      </w:r>
    </w:p>
    <w:p>
      <w:pPr>
        <w:keepNext/>
        <w:spacing w:before="200" w:after="60"/>
      </w:pPr>
      <w:r>
        <w:rPr>
          <w:rFonts w:ascii="Montserrat" w:hAnsi="Montserrat"/>
          <w:b/>
          <w:color w:val="191C4A"/>
          <w:sz w:val="21"/>
        </w:rPr>
        <w:t>4. INCORPORATION, NAME AND STATUS</w:t>
      </w:r>
    </w:p>
    <w:p>
      <w:pPr>
        <w:spacing w:after="80"/>
        <w:ind w:left="624" w:hanging="624"/>
        <w:jc w:val="both"/>
      </w:pPr>
      <w:r>
        <w:rPr>
          <w:rFonts w:ascii="Open Sans" w:hAnsi="Open Sans"/>
          <w:b/>
          <w:color w:val="191C4A"/>
          <w:sz w:val="21"/>
        </w:rPr>
        <w:t>4.1</w:t>
        <w:tab/>
      </w:r>
      <w:r>
        <w:rPr>
          <w:rFonts w:ascii="Open Sans" w:hAnsi="Open Sans"/>
          <w:b w:val="0"/>
          <w:i w:val="0"/>
          <w:sz w:val="21"/>
        </w:rPr>
        <w:t xml:space="preserve">The Company is incorporated as a private company under the Act. Its name is </w:t>
      </w:r>
      <w:r>
        <w:rPr>
          <w:rFonts w:ascii="Open Sans" w:hAnsi="Open Sans"/>
          <w:b w:val="0"/>
          <w:i w:val="0"/>
          <w:color w:val="21759B"/>
          <w:sz w:val="21"/>
        </w:rPr>
        <w:t>[FULL REGISTERED NAME]</w:t>
      </w:r>
      <w:r>
        <w:rPr>
          <w:rFonts w:ascii="Open Sans" w:hAnsi="Open Sans"/>
          <w:b w:val="0"/>
          <w:i w:val="0"/>
          <w:sz w:val="21"/>
        </w:rPr>
        <w:t xml:space="preserve"> (Proprietary) Limited, which may be written as </w:t>
      </w:r>
      <w:r>
        <w:rPr>
          <w:rFonts w:ascii="Open Sans" w:hAnsi="Open Sans"/>
          <w:b w:val="0"/>
          <w:i w:val="0"/>
          <w:color w:val="21759B"/>
          <w:sz w:val="21"/>
        </w:rPr>
        <w:t>[FULL REGISTERED NAME]</w:t>
      </w:r>
      <w:r>
        <w:rPr>
          <w:rFonts w:ascii="Open Sans" w:hAnsi="Open Sans"/>
          <w:b w:val="0"/>
          <w:i w:val="0"/>
          <w:sz w:val="21"/>
        </w:rPr>
        <w:t xml:space="preserve"> (Pty) Ltd.</w:t>
      </w:r>
    </w:p>
    <w:p>
      <w:pPr>
        <w:spacing w:after="80"/>
        <w:ind w:left="624" w:hanging="624"/>
        <w:jc w:val="both"/>
      </w:pPr>
      <w:r>
        <w:rPr>
          <w:rFonts w:ascii="Open Sans" w:hAnsi="Open Sans"/>
          <w:b/>
          <w:color w:val="191C4A"/>
          <w:sz w:val="21"/>
        </w:rPr>
        <w:t>4.2</w:t>
        <w:tab/>
      </w:r>
      <w:r>
        <w:rPr>
          <w:rFonts w:ascii="Open Sans" w:hAnsi="Open Sans"/>
          <w:b w:val="0"/>
          <w:i w:val="0"/>
          <w:sz w:val="21"/>
        </w:rPr>
        <w:t>The Company is not a public company, a state owned company, a personal liability company or a non-profit company.</w:t>
      </w:r>
    </w:p>
    <w:p>
      <w:pPr>
        <w:spacing w:after="80"/>
        <w:ind w:left="624" w:hanging="624"/>
        <w:jc w:val="both"/>
      </w:pPr>
      <w:r>
        <w:rPr>
          <w:rFonts w:ascii="Open Sans" w:hAnsi="Open Sans"/>
          <w:b/>
          <w:color w:val="191C4A"/>
          <w:sz w:val="21"/>
        </w:rPr>
        <w:t>4.3</w:t>
        <w:tab/>
      </w:r>
      <w:r>
        <w:rPr>
          <w:rFonts w:ascii="Open Sans" w:hAnsi="Open Sans"/>
          <w:b w:val="0"/>
          <w:i w:val="0"/>
          <w:sz w:val="21"/>
        </w:rPr>
        <w:t>As a private company, the Company restricts the transferability of its securities in the manner set out in Part 4 of this MOI, and prohibits any offer of its securities to the public. Both of those are required by section 8(2)(b) of the Act. A private company that does either of those things wrongly stops being a private company.</w:t>
      </w:r>
    </w:p>
    <w:p>
      <w:pPr>
        <w:spacing w:after="80"/>
        <w:ind w:left="624" w:hanging="624"/>
        <w:jc w:val="both"/>
      </w:pPr>
      <w:r>
        <w:rPr>
          <w:rFonts w:ascii="Open Sans" w:hAnsi="Open Sans"/>
          <w:b/>
          <w:color w:val="191C4A"/>
          <w:sz w:val="21"/>
        </w:rPr>
        <w:t>4.4</w:t>
        <w:tab/>
      </w:r>
      <w:r>
        <w:rPr>
          <w:rFonts w:ascii="Open Sans" w:hAnsi="Open Sans"/>
          <w:b w:val="0"/>
          <w:i w:val="0"/>
          <w:sz w:val="21"/>
        </w:rPr>
        <w:t xml:space="preserve">The Company's registered office is </w:t>
      </w:r>
      <w:r>
        <w:rPr>
          <w:rFonts w:ascii="Open Sans" w:hAnsi="Open Sans"/>
          <w:b w:val="0"/>
          <w:i w:val="0"/>
          <w:color w:val="21759B"/>
          <w:sz w:val="21"/>
        </w:rPr>
        <w:t>[street address, suburb, city, province]</w:t>
      </w:r>
      <w:r>
        <w:rPr>
          <w:rFonts w:ascii="Open Sans" w:hAnsi="Open Sans"/>
          <w:b w:val="0"/>
          <w:i w:val="0"/>
          <w:sz w:val="21"/>
        </w:rPr>
        <w:t>. The Board may move the registered office by resolution, and must file the change with CIPC.</w:t>
      </w:r>
    </w:p>
    <w:p>
      <w:pPr>
        <w:spacing w:after="80"/>
        <w:ind w:left="624" w:hanging="624"/>
        <w:jc w:val="both"/>
      </w:pPr>
      <w:r>
        <w:rPr>
          <w:rFonts w:ascii="Open Sans" w:hAnsi="Open Sans"/>
          <w:b/>
          <w:color w:val="191C4A"/>
          <w:sz w:val="21"/>
        </w:rPr>
        <w:t>4.5</w:t>
        <w:tab/>
      </w:r>
      <w:r>
        <w:rPr>
          <w:rFonts w:ascii="Open Sans" w:hAnsi="Open Sans"/>
          <w:b w:val="0"/>
          <w:i w:val="0"/>
          <w:sz w:val="21"/>
        </w:rPr>
        <w:t>The Company may trade under one or more other names. A trading name gives you no right of ownership in the name. If you want the name protected, register the shortened, translated or alternative name with CIPC under section 11(3) of the Act, or register a trade mark. The Company's full registered name and registration number must still appear on all its notices and official publications, as section 32 of the Act requires.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Companies Act 71 of 2008 does not cap the number of shareholders a private company may have. Older templates carry a cap because it appeared in the repealed Companies Act 61 of 1973. Do not copy it in. What makes a company private is the restriction on transfer plus the prohibition on offers to the public, nothing else.</w:t>
      </w:r>
    </w:p>
    <w:p>
      <w:pPr>
        <w:keepNext/>
        <w:spacing w:before="200" w:after="60"/>
      </w:pPr>
      <w:r>
        <w:rPr>
          <w:rFonts w:ascii="Montserrat" w:hAnsi="Montserrat"/>
          <w:b/>
          <w:color w:val="191C4A"/>
          <w:sz w:val="21"/>
        </w:rPr>
        <w:t>5. LEGAL CAPACITY AND POWERS</w:t>
      </w:r>
    </w:p>
    <w:p>
      <w:pPr>
        <w:spacing w:after="80"/>
        <w:ind w:left="624" w:hanging="624"/>
        <w:jc w:val="both"/>
      </w:pPr>
      <w:r>
        <w:rPr>
          <w:rFonts w:ascii="Open Sans" w:hAnsi="Open Sans"/>
          <w:b/>
          <w:color w:val="191C4A"/>
          <w:sz w:val="21"/>
        </w:rPr>
        <w:t>5.1</w:t>
        <w:tab/>
      </w:r>
      <w:r>
        <w:rPr>
          <w:rFonts w:ascii="Open Sans" w:hAnsi="Open Sans"/>
          <w:b w:val="0"/>
          <w:i w:val="0"/>
          <w:sz w:val="21"/>
        </w:rPr>
        <w:t>The Company has all the legal capacity and powers of a natural person, except to the extent that a juristic person cannot have or exercise a particular power.</w:t>
      </w:r>
    </w:p>
    <w:p>
      <w:pPr>
        <w:spacing w:after="80"/>
        <w:ind w:left="624" w:hanging="624"/>
        <w:jc w:val="both"/>
      </w:pPr>
      <w:r>
        <w:rPr>
          <w:rFonts w:ascii="Open Sans" w:hAnsi="Open Sans"/>
          <w:b/>
          <w:color w:val="191C4A"/>
          <w:sz w:val="21"/>
        </w:rPr>
        <w:t>5.2</w:t>
        <w:tab/>
      </w:r>
      <w:r>
        <w:rPr>
          <w:rFonts w:ascii="Open Sans" w:hAnsi="Open Sans"/>
          <w:b w:val="0"/>
          <w:i w:val="0"/>
          <w:color w:val="21759B"/>
          <w:sz w:val="21"/>
        </w:rPr>
        <w:t>[Option A, the usual choice.]</w:t>
      </w:r>
      <w:r>
        <w:rPr>
          <w:rFonts w:ascii="Open Sans" w:hAnsi="Open Sans"/>
          <w:b w:val="0"/>
          <w:i w:val="0"/>
          <w:sz w:val="21"/>
        </w:rPr>
        <w:t xml:space="preserve"> The Company's capacity and powers are not restricted, limited or qualified by this MOI. If this option applies, delete Option B and clause 6, and the Company's name does not carry the RF suffix.</w:t>
      </w:r>
    </w:p>
    <w:p>
      <w:pPr>
        <w:spacing w:after="80"/>
        <w:ind w:left="624" w:hanging="624"/>
        <w:jc w:val="both"/>
      </w:pPr>
      <w:r>
        <w:rPr>
          <w:rFonts w:ascii="Open Sans" w:hAnsi="Open Sans"/>
          <w:b/>
          <w:color w:val="191C4A"/>
          <w:sz w:val="21"/>
        </w:rPr>
        <w:t>5.3</w:t>
        <w:tab/>
      </w:r>
      <w:r>
        <w:rPr>
          <w:rFonts w:ascii="Open Sans" w:hAnsi="Open Sans"/>
          <w:b w:val="0"/>
          <w:i w:val="0"/>
          <w:color w:val="21759B"/>
          <w:sz w:val="21"/>
        </w:rPr>
        <w:t>[Option B.]</w:t>
      </w:r>
      <w:r>
        <w:rPr>
          <w:rFonts w:ascii="Open Sans" w:hAnsi="Open Sans"/>
          <w:b w:val="0"/>
          <w:i w:val="0"/>
          <w:sz w:val="21"/>
        </w:rPr>
        <w:t xml:space="preserve"> The Company's capacity is restricted as follows: [set out the restriction in full, for example the Company may carry on no business other than owning and letting the immovable property described in Schedule C]. If this option applies, clause 6 applies and the Company's name must end with RF.</w:t>
      </w:r>
    </w:p>
    <w:p>
      <w:pPr>
        <w:spacing w:after="80"/>
        <w:ind w:left="624" w:hanging="624"/>
        <w:jc w:val="both"/>
      </w:pPr>
      <w:r>
        <w:rPr>
          <w:rFonts w:ascii="Open Sans" w:hAnsi="Open Sans"/>
          <w:b/>
          <w:color w:val="191C4A"/>
          <w:sz w:val="21"/>
        </w:rPr>
        <w:t>5.4</w:t>
        <w:tab/>
      </w:r>
      <w:r>
        <w:rPr>
          <w:rFonts w:ascii="Open Sans" w:hAnsi="Open Sans"/>
          <w:b w:val="0"/>
          <w:i w:val="0"/>
          <w:sz w:val="21"/>
        </w:rPr>
        <w:t>The Company's main business is [describe the main activities, for example residential and commercial electrical installation and maintenance in Polokwane and the surrounding areas].</w:t>
      </w:r>
    </w:p>
    <w:p>
      <w:pPr>
        <w:keepNext/>
        <w:spacing w:before="200" w:after="60"/>
      </w:pPr>
      <w:r>
        <w:rPr>
          <w:rFonts w:ascii="Montserrat" w:hAnsi="Montserrat"/>
          <w:b/>
          <w:color w:val="191C4A"/>
          <w:sz w:val="21"/>
        </w:rPr>
        <w:t>6. RING FENCING AND THE RF SUFFIX</w:t>
      </w:r>
    </w:p>
    <w:p>
      <w:pPr>
        <w:spacing w:after="80" w:before="0"/>
        <w:jc w:val="both"/>
      </w:pPr>
      <w:r>
        <w:rPr>
          <w:rFonts w:ascii="Open Sans" w:hAnsi="Open Sans"/>
          <w:b w:val="0"/>
          <w:i w:val="0"/>
          <w:sz w:val="21"/>
        </w:rPr>
        <w:t>This clause applies only if you chose Option B in clause 5.</w:t>
      </w:r>
    </w:p>
    <w:p>
      <w:pPr>
        <w:spacing w:after="80"/>
        <w:ind w:left="624" w:hanging="624"/>
        <w:jc w:val="both"/>
      </w:pPr>
      <w:r>
        <w:rPr>
          <w:rFonts w:ascii="Open Sans" w:hAnsi="Open Sans"/>
          <w:b/>
          <w:color w:val="191C4A"/>
          <w:sz w:val="21"/>
        </w:rPr>
        <w:t>6.1</w:t>
        <w:tab/>
      </w:r>
      <w:r>
        <w:rPr>
          <w:rFonts w:ascii="Open Sans" w:hAnsi="Open Sans"/>
          <w:b w:val="0"/>
          <w:i w:val="0"/>
          <w:sz w:val="21"/>
        </w:rPr>
        <w:t xml:space="preserve">Where this MOI includes a restrictive condition of the kind described in section 15(2)(b) or (c) of the Act, or restricts the Company's capacity or powers, the Company's name must end with the letters RF, as section 11(3)(b) of the Act requires. The full name then reads </w:t>
      </w:r>
      <w:r>
        <w:rPr>
          <w:rFonts w:ascii="Open Sans" w:hAnsi="Open Sans"/>
          <w:b w:val="0"/>
          <w:i w:val="0"/>
          <w:color w:val="21759B"/>
          <w:sz w:val="21"/>
        </w:rPr>
        <w:t>[FULL REGISTERED NAME]</w:t>
      </w:r>
      <w:r>
        <w:rPr>
          <w:rFonts w:ascii="Open Sans" w:hAnsi="Open Sans"/>
          <w:b w:val="0"/>
          <w:i w:val="0"/>
          <w:sz w:val="21"/>
        </w:rPr>
        <w:t xml:space="preserve"> (Proprietary) Limited RF.</w:t>
      </w:r>
    </w:p>
    <w:p>
      <w:pPr>
        <w:spacing w:after="80"/>
        <w:ind w:left="624" w:hanging="624"/>
        <w:jc w:val="both"/>
      </w:pPr>
      <w:r>
        <w:rPr>
          <w:rFonts w:ascii="Open Sans" w:hAnsi="Open Sans"/>
          <w:b/>
          <w:color w:val="191C4A"/>
          <w:sz w:val="21"/>
        </w:rPr>
        <w:t>6.2</w:t>
        <w:tab/>
      </w:r>
      <w:r>
        <w:rPr>
          <w:rFonts w:ascii="Open Sans" w:hAnsi="Open Sans"/>
          <w:b w:val="0"/>
          <w:i w:val="0"/>
          <w:sz w:val="21"/>
        </w:rPr>
        <w:t>The Notice of Incorporation lodged with CIPC must draw attention to the restriction by way of the annexure that CIPC requires for that purpose. If you add a restriction later by amending this MOI, the same notice and the name change must be filed at the same time.</w:t>
      </w:r>
    </w:p>
    <w:p>
      <w:pPr>
        <w:spacing w:after="80"/>
        <w:ind w:left="624" w:hanging="624"/>
        <w:jc w:val="both"/>
      </w:pPr>
      <w:r>
        <w:rPr>
          <w:rFonts w:ascii="Open Sans" w:hAnsi="Open Sans"/>
          <w:b/>
          <w:color w:val="191C4A"/>
          <w:sz w:val="21"/>
        </w:rPr>
        <w:t>6.3</w:t>
        <w:tab/>
      </w:r>
      <w:r>
        <w:rPr>
          <w:rFonts w:ascii="Open Sans" w:hAnsi="Open Sans"/>
          <w:b w:val="0"/>
          <w:i w:val="0"/>
          <w:sz w:val="21"/>
        </w:rPr>
        <w:t>The point of the RF suffix is that anyone dealing with the Company is treated as knowing that its powers are limited. That protects the shareholders, and it also makes the Company harder to deal with. Do not ring fence a trading company unless you have a specific reason, such as a funder requiring it for a special purpose vehicle.</w:t>
      </w:r>
    </w:p>
    <w:p>
      <w:pPr>
        <w:pStyle w:val="Heading1"/>
      </w:pPr>
      <w:r>
        <w:t>Part 3: Securities and share capital</w:t>
      </w:r>
    </w:p>
    <w:p>
      <w:pPr>
        <w:keepNext/>
        <w:spacing w:before="200" w:after="60"/>
      </w:pPr>
      <w:r>
        <w:rPr>
          <w:rFonts w:ascii="Montserrat" w:hAnsi="Montserrat"/>
          <w:b/>
          <w:color w:val="191C4A"/>
          <w:sz w:val="21"/>
        </w:rPr>
        <w:t>7. AUTHORISED SHARES</w:t>
      </w:r>
    </w:p>
    <w:p>
      <w:pPr>
        <w:spacing w:after="80"/>
        <w:ind w:left="624" w:hanging="624"/>
        <w:jc w:val="both"/>
      </w:pPr>
      <w:r>
        <w:rPr>
          <w:rFonts w:ascii="Open Sans" w:hAnsi="Open Sans"/>
          <w:b/>
          <w:color w:val="191C4A"/>
          <w:sz w:val="21"/>
        </w:rPr>
        <w:t>7.1</w:t>
        <w:tab/>
      </w:r>
      <w:r>
        <w:rPr>
          <w:rFonts w:ascii="Open Sans" w:hAnsi="Open Sans"/>
          <w:b w:val="0"/>
          <w:i w:val="0"/>
          <w:sz w:val="21"/>
        </w:rPr>
        <w:t>The Company is authorised to issue the securities set out in the table below. All shares are of no par value.</w:t>
      </w:r>
    </w:p>
    <w:tbl>
      <w:tblPr>
        <w:tblW w:type="dxa" w:w="9025"/>
        <w:jc w:val="center"/>
        <w:tblLayout w:type="fixed"/>
        <w:tblLook w:firstColumn="1" w:firstRow="1" w:lastColumn="0" w:lastRow="0" w:noHBand="0" w:noVBand="1" w:val="04A0"/>
      </w:tblPr>
      <w:tblGrid>
        <w:gridCol w:w="1985"/>
        <w:gridCol w:w="1444"/>
        <w:gridCol w:w="1444"/>
        <w:gridCol w:w="2075"/>
        <w:gridCol w:w="2075"/>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CLASS</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NUMBER AUTHORISED</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VOTES</w:t>
            </w:r>
          </w:p>
        </w:tc>
        <w:tc>
          <w:tcPr>
            <w:tcW w:type="dxa" w:w="207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DIVIDEND</w:t>
            </w:r>
          </w:p>
        </w:tc>
        <w:tc>
          <w:tcPr>
            <w:tcW w:type="dxa" w:w="207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ON WINDING UP</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Ordinary shares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[1 000]</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One vote per share</w:t>
            </w:r>
          </w:p>
        </w:tc>
        <w:tc>
          <w:tcPr>
            <w:tcW w:type="dxa" w:w="207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Equal right to any dividend declared</w:t>
            </w:r>
          </w:p>
        </w:tc>
        <w:tc>
          <w:tcPr>
            <w:tcW w:type="dxa" w:w="207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Equal right to the surplus after creditors are paid</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[Class B ordinary shares, if you want a non-voting class]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[Number or delete this row]</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[No vote]</w:t>
            </w:r>
          </w:p>
        </w:tc>
        <w:tc>
          <w:tcPr>
            <w:tcW w:type="dxa" w:w="207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[Equal right to any dividend declared]</w:t>
            </w:r>
          </w:p>
        </w:tc>
        <w:tc>
          <w:tcPr>
            <w:tcW w:type="dxa" w:w="207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[Equal right to the surplus after creditors are paid]</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[Preference shares, if any]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[Number or delete this row]</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[Specify, commonly no vote except on matters affecting the class]</w:t>
            </w:r>
          </w:p>
        </w:tc>
        <w:tc>
          <w:tcPr>
            <w:tcW w:type="dxa" w:w="207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[Specify the preference, for example a fixed cumulative dividend]</w:t>
            </w:r>
          </w:p>
        </w:tc>
        <w:tc>
          <w:tcPr>
            <w:tcW w:type="dxa" w:w="207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[Specify the preference on winding up]</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Keep it simple. A single class of ordinary shares of no par value suits almost every small company. Authorise more shares than you issue, so that you can bring in a partner or an investor later without amending this MOI. Issuing 100 shares out of 1 000 authorised is common and costs nothing extra.</w:t>
      </w:r>
    </w:p>
    <w:p>
      <w:pPr>
        <w:keepNext/>
        <w:spacing w:before="200" w:after="60"/>
      </w:pPr>
      <w:r>
        <w:rPr>
          <w:rFonts w:ascii="Montserrat" w:hAnsi="Montserrat"/>
          <w:b/>
          <w:color w:val="191C4A"/>
          <w:sz w:val="21"/>
        </w:rPr>
        <w:t>8. ISSUE OF SHARES AND DIRECTORS' POWERS OVER SHARES</w:t>
      </w:r>
    </w:p>
    <w:p>
      <w:pPr>
        <w:spacing w:after="80"/>
        <w:ind w:left="624" w:hanging="624"/>
        <w:jc w:val="both"/>
      </w:pPr>
      <w:r>
        <w:rPr>
          <w:rFonts w:ascii="Open Sans" w:hAnsi="Open Sans"/>
          <w:b/>
          <w:color w:val="191C4A"/>
          <w:sz w:val="21"/>
        </w:rPr>
        <w:t>8.1</w:t>
        <w:tab/>
      </w:r>
      <w:r>
        <w:rPr>
          <w:rFonts w:ascii="Open Sans" w:hAnsi="Open Sans"/>
          <w:b w:val="0"/>
          <w:i w:val="0"/>
          <w:sz w:val="21"/>
        </w:rPr>
        <w:t>The initial issued shares are set out in Schedule A.</w:t>
      </w:r>
    </w:p>
    <w:p>
      <w:pPr>
        <w:spacing w:after="80"/>
        <w:ind w:left="624" w:hanging="624"/>
        <w:jc w:val="both"/>
      </w:pPr>
      <w:r>
        <w:rPr>
          <w:rFonts w:ascii="Open Sans" w:hAnsi="Open Sans"/>
          <w:b/>
          <w:color w:val="191C4A"/>
          <w:sz w:val="21"/>
        </w:rPr>
        <w:t>8.2</w:t>
        <w:tab/>
      </w:r>
      <w:r>
        <w:rPr>
          <w:rFonts w:ascii="Open Sans" w:hAnsi="Open Sans"/>
          <w:b w:val="0"/>
          <w:i w:val="0"/>
          <w:sz w:val="21"/>
        </w:rPr>
        <w:t>The Board may issue authorised but unissued shares, and may grant options over them, subject to sections 38, 40 and 41 of the Act and to clause 8.4 below.</w:t>
      </w:r>
    </w:p>
    <w:p>
      <w:pPr>
        <w:spacing w:after="80"/>
        <w:ind w:left="624" w:hanging="624"/>
        <w:jc w:val="both"/>
      </w:pPr>
      <w:r>
        <w:rPr>
          <w:rFonts w:ascii="Open Sans" w:hAnsi="Open Sans"/>
          <w:b/>
          <w:color w:val="191C4A"/>
          <w:sz w:val="21"/>
        </w:rPr>
        <w:t>8.3</w:t>
        <w:tab/>
      </w:r>
      <w:r>
        <w:rPr>
          <w:rFonts w:ascii="Open Sans" w:hAnsi="Open Sans"/>
          <w:b w:val="0"/>
          <w:i w:val="0"/>
          <w:sz w:val="21"/>
        </w:rPr>
        <w:t>The Board may increase or decrease the number of authorised shares of any class, reclassify authorised but unissued shares and determine the preferences, rights and limitations of a class, in terms of section 36(3) of the Act, but only with the prior approval of shareholders by special resolution. This alters the default position in the Act, which gives that power to the Board alone where the MOI permits it.</w:t>
      </w:r>
    </w:p>
    <w:p>
      <w:pPr>
        <w:spacing w:after="80"/>
        <w:ind w:left="624" w:hanging="624"/>
        <w:jc w:val="both"/>
      </w:pPr>
      <w:r>
        <w:rPr>
          <w:rFonts w:ascii="Open Sans" w:hAnsi="Open Sans"/>
          <w:b/>
          <w:color w:val="191C4A"/>
          <w:sz w:val="21"/>
        </w:rPr>
        <w:t>8.4</w:t>
        <w:tab/>
      </w:r>
      <w:r>
        <w:rPr>
          <w:rFonts w:ascii="Open Sans" w:hAnsi="Open Sans"/>
          <w:b w:val="0"/>
          <w:i w:val="0"/>
          <w:sz w:val="21"/>
        </w:rPr>
        <w:t xml:space="preserve">Before the Company issues shares to any person, each existing shareholder must first be offered the right to subscribe for a proportion of those shares equal to that shareholder's existing voting power, on the same terms, and must be given at least </w:t>
      </w:r>
      <w:r>
        <w:rPr>
          <w:rFonts w:ascii="Open Sans" w:hAnsi="Open Sans"/>
          <w:b w:val="0"/>
          <w:i w:val="0"/>
          <w:color w:val="21759B"/>
          <w:sz w:val="21"/>
        </w:rPr>
        <w:t>[15]</w:t>
      </w:r>
      <w:r>
        <w:rPr>
          <w:rFonts w:ascii="Open Sans" w:hAnsi="Open Sans"/>
          <w:b w:val="0"/>
          <w:i w:val="0"/>
          <w:sz w:val="21"/>
        </w:rPr>
        <w:t xml:space="preserve"> business days to take it up. This preserves the pre-emptive right in section 39 of the Act and applies to every issue, including an issue to a director or an employee.</w:t>
      </w:r>
    </w:p>
    <w:p>
      <w:pPr>
        <w:spacing w:after="80"/>
        <w:ind w:left="624" w:hanging="624"/>
        <w:jc w:val="both"/>
      </w:pPr>
      <w:r>
        <w:rPr>
          <w:rFonts w:ascii="Open Sans" w:hAnsi="Open Sans"/>
          <w:b/>
          <w:color w:val="191C4A"/>
          <w:sz w:val="21"/>
        </w:rPr>
        <w:t>8.5</w:t>
        <w:tab/>
      </w:r>
      <w:r>
        <w:rPr>
          <w:rFonts w:ascii="Open Sans" w:hAnsi="Open Sans"/>
          <w:b w:val="0"/>
          <w:i w:val="0"/>
          <w:sz w:val="21"/>
        </w:rPr>
        <w:t>Where shares are issued for future consideration, the shares must be held by a third party stakeholder on the terms required by section 40 of the Act until the consideration is paid in full.</w:t>
      </w:r>
    </w:p>
    <w:p>
      <w:pPr>
        <w:spacing w:after="80"/>
        <w:ind w:left="624" w:hanging="624"/>
        <w:jc w:val="both"/>
      </w:pPr>
      <w:r>
        <w:rPr>
          <w:rFonts w:ascii="Open Sans" w:hAnsi="Open Sans"/>
          <w:b/>
          <w:color w:val="191C4A"/>
          <w:sz w:val="21"/>
        </w:rPr>
        <w:t>8.6</w:t>
        <w:tab/>
      </w:r>
      <w:r>
        <w:rPr>
          <w:rFonts w:ascii="Open Sans" w:hAnsi="Open Sans"/>
          <w:b w:val="0"/>
          <w:i w:val="0"/>
          <w:sz w:val="21"/>
        </w:rPr>
        <w:t>Shares issued to a director, a prescribed officer, a person related to either, or a nominee of any of them, also require a special resolution where section 41 of the Act requires one.</w:t>
      </w:r>
    </w:p>
    <w:p>
      <w:pPr>
        <w:keepNext/>
        <w:spacing w:before="200" w:after="60"/>
      </w:pPr>
      <w:r>
        <w:rPr>
          <w:rFonts w:ascii="Montserrat" w:hAnsi="Montserrat"/>
          <w:b/>
          <w:color w:val="191C4A"/>
          <w:sz w:val="21"/>
        </w:rPr>
        <w:t>9. SECURITIES REGISTER AND CERTIFICATES</w:t>
      </w:r>
    </w:p>
    <w:p>
      <w:pPr>
        <w:spacing w:after="80"/>
        <w:ind w:left="624" w:hanging="624"/>
        <w:jc w:val="both"/>
      </w:pPr>
      <w:r>
        <w:rPr>
          <w:rFonts w:ascii="Open Sans" w:hAnsi="Open Sans"/>
          <w:b/>
          <w:color w:val="191C4A"/>
          <w:sz w:val="21"/>
        </w:rPr>
        <w:t>9.1</w:t>
        <w:tab/>
      </w:r>
      <w:r>
        <w:rPr>
          <w:rFonts w:ascii="Open Sans" w:hAnsi="Open Sans"/>
          <w:b w:val="0"/>
          <w:i w:val="0"/>
          <w:sz w:val="21"/>
        </w:rPr>
        <w:t>The Company must keep a securities register in terms of section 50 of the Act at its registered office, and must enter every issue and every transfer in it. A transfer is only effective once it is entered in the register.</w:t>
      </w:r>
    </w:p>
    <w:p>
      <w:pPr>
        <w:spacing w:after="80"/>
        <w:ind w:left="624" w:hanging="624"/>
        <w:jc w:val="both"/>
      </w:pPr>
      <w:r>
        <w:rPr>
          <w:rFonts w:ascii="Open Sans" w:hAnsi="Open Sans"/>
          <w:b/>
          <w:color w:val="191C4A"/>
          <w:sz w:val="21"/>
        </w:rPr>
        <w:t>9.2</w:t>
        <w:tab/>
      </w:r>
      <w:r>
        <w:rPr>
          <w:rFonts w:ascii="Open Sans" w:hAnsi="Open Sans"/>
          <w:b w:val="0"/>
          <w:i w:val="0"/>
          <w:sz w:val="21"/>
        </w:rPr>
        <w:t xml:space="preserve">The Company may issue certificated or uncertificated shares. A share certificate must contain the particulars required by section 51(4) of the Act and must be signed by </w:t>
      </w:r>
      <w:r>
        <w:rPr>
          <w:rFonts w:ascii="Open Sans" w:hAnsi="Open Sans"/>
          <w:b w:val="0"/>
          <w:i w:val="0"/>
          <w:color w:val="21759B"/>
          <w:sz w:val="21"/>
        </w:rPr>
        <w:t>[one]</w:t>
      </w:r>
      <w:r>
        <w:rPr>
          <w:rFonts w:ascii="Open Sans" w:hAnsi="Open Sans"/>
          <w:b w:val="0"/>
          <w:i w:val="0"/>
          <w:sz w:val="21"/>
        </w:rPr>
        <w:t xml:space="preserve"> director or by a person authorised by the Board.</w:t>
      </w:r>
    </w:p>
    <w:p>
      <w:pPr>
        <w:spacing w:after="80"/>
        <w:ind w:left="624" w:hanging="624"/>
        <w:jc w:val="both"/>
      </w:pPr>
      <w:r>
        <w:rPr>
          <w:rFonts w:ascii="Open Sans" w:hAnsi="Open Sans"/>
          <w:b/>
          <w:color w:val="191C4A"/>
          <w:sz w:val="21"/>
        </w:rPr>
        <w:t>9.3</w:t>
        <w:tab/>
      </w:r>
      <w:r>
        <w:rPr>
          <w:rFonts w:ascii="Open Sans" w:hAnsi="Open Sans"/>
          <w:b w:val="0"/>
          <w:i w:val="0"/>
          <w:sz w:val="21"/>
        </w:rPr>
        <w:t>The Company must also keep a register of the disclosure of beneficial interests where any securities are held by one person for the benefit of another, as sections 56 and 26 of the Act require.</w:t>
      </w:r>
    </w:p>
    <w:p>
      <w:pPr>
        <w:pStyle w:val="Heading1"/>
      </w:pPr>
      <w:r>
        <w:t>Part 4: Restrictions on the transfer of shares</w:t>
      </w:r>
    </w:p>
    <w:p>
      <w:pPr>
        <w:keepNext/>
        <w:spacing w:before="200" w:after="60"/>
      </w:pPr>
      <w:r>
        <w:rPr>
          <w:rFonts w:ascii="Montserrat" w:hAnsi="Montserrat"/>
          <w:b/>
          <w:color w:val="191C4A"/>
          <w:sz w:val="21"/>
        </w:rPr>
        <w:t>10. RESTRICTION ON TRANSFER</w:t>
      </w:r>
    </w:p>
    <w:p>
      <w:pPr>
        <w:spacing w:after="80"/>
        <w:ind w:left="624" w:hanging="624"/>
        <w:jc w:val="both"/>
      </w:pPr>
      <w:r>
        <w:rPr>
          <w:rFonts w:ascii="Open Sans" w:hAnsi="Open Sans"/>
          <w:b/>
          <w:color w:val="191C4A"/>
          <w:sz w:val="21"/>
        </w:rPr>
        <w:t>10.1</w:t>
        <w:tab/>
      </w:r>
      <w:r>
        <w:rPr>
          <w:rFonts w:ascii="Open Sans" w:hAnsi="Open Sans"/>
          <w:b w:val="0"/>
          <w:i w:val="0"/>
          <w:sz w:val="21"/>
        </w:rPr>
        <w:t>No shareholder may sell, transfer, cede, pledge, donate or otherwise dispose of any share, or any interest in any share, except in accordance with this Part 4.</w:t>
      </w:r>
    </w:p>
    <w:p>
      <w:pPr>
        <w:spacing w:after="80"/>
        <w:ind w:left="624" w:hanging="624"/>
        <w:jc w:val="both"/>
      </w:pPr>
      <w:r>
        <w:rPr>
          <w:rFonts w:ascii="Open Sans" w:hAnsi="Open Sans"/>
          <w:b/>
          <w:color w:val="191C4A"/>
          <w:sz w:val="21"/>
        </w:rPr>
        <w:t>10.2</w:t>
        <w:tab/>
      </w:r>
      <w:r>
        <w:rPr>
          <w:rFonts w:ascii="Open Sans" w:hAnsi="Open Sans"/>
          <w:b w:val="0"/>
          <w:i w:val="0"/>
          <w:sz w:val="21"/>
        </w:rPr>
        <w:t>A transfer made in breach of this Part 4 is void, and the Board must refuse to register it.</w:t>
      </w:r>
    </w:p>
    <w:p>
      <w:pPr>
        <w:spacing w:after="80"/>
        <w:ind w:left="624" w:hanging="624"/>
        <w:jc w:val="both"/>
      </w:pPr>
      <w:r>
        <w:rPr>
          <w:rFonts w:ascii="Open Sans" w:hAnsi="Open Sans"/>
          <w:b/>
          <w:color w:val="191C4A"/>
          <w:sz w:val="21"/>
        </w:rPr>
        <w:t>10.3</w:t>
        <w:tab/>
      </w:r>
      <w:r>
        <w:rPr>
          <w:rFonts w:ascii="Open Sans" w:hAnsi="Open Sans"/>
          <w:b w:val="0"/>
          <w:i w:val="0"/>
          <w:sz w:val="21"/>
        </w:rPr>
        <w:t>The Board may in any event refuse to register a transfer to a person who has not signed a written undertaking to be bound by this MOI and by any shareholders agreement in force.</w:t>
      </w:r>
    </w:p>
    <w:p>
      <w:pPr>
        <w:keepNext/>
        <w:spacing w:before="200" w:after="60"/>
      </w:pPr>
      <w:r>
        <w:rPr>
          <w:rFonts w:ascii="Montserrat" w:hAnsi="Montserrat"/>
          <w:b/>
          <w:color w:val="191C4A"/>
          <w:sz w:val="21"/>
        </w:rPr>
        <w:t>11. PRE-EMPTIVE RIGHT ON A PROPOSED SALE</w:t>
      </w:r>
    </w:p>
    <w:p>
      <w:pPr>
        <w:spacing w:after="80"/>
        <w:ind w:left="624" w:hanging="624"/>
        <w:jc w:val="both"/>
      </w:pPr>
      <w:r>
        <w:rPr>
          <w:rFonts w:ascii="Open Sans" w:hAnsi="Open Sans"/>
          <w:b/>
          <w:color w:val="191C4A"/>
          <w:sz w:val="21"/>
        </w:rPr>
        <w:t>11.1</w:t>
        <w:tab/>
      </w:r>
      <w:r>
        <w:rPr>
          <w:rFonts w:ascii="Open Sans" w:hAnsi="Open Sans"/>
          <w:b w:val="0"/>
          <w:i w:val="0"/>
          <w:sz w:val="21"/>
        </w:rPr>
        <w:t>A shareholder who wants to dispose of shares (the selling shareholder) must first offer them in writing to the other shareholders (the transfer notice).</w:t>
      </w:r>
    </w:p>
    <w:p>
      <w:pPr>
        <w:spacing w:after="80"/>
        <w:ind w:left="624" w:hanging="624"/>
        <w:jc w:val="both"/>
      </w:pPr>
      <w:r>
        <w:rPr>
          <w:rFonts w:ascii="Open Sans" w:hAnsi="Open Sans"/>
          <w:b/>
          <w:color w:val="191C4A"/>
          <w:sz w:val="21"/>
        </w:rPr>
        <w:t>11.2</w:t>
        <w:tab/>
      </w:r>
      <w:r>
        <w:rPr>
          <w:rFonts w:ascii="Open Sans" w:hAnsi="Open Sans"/>
          <w:b w:val="0"/>
          <w:i w:val="0"/>
          <w:sz w:val="21"/>
        </w:rPr>
        <w:t>The transfer notice must state the number and class of shares, the price per share, whether the selling shareholder has an offer from a third party and if so from whom, and the proposed date of transfer.</w:t>
      </w:r>
    </w:p>
    <w:p>
      <w:pPr>
        <w:spacing w:after="80"/>
        <w:ind w:left="624" w:hanging="624"/>
        <w:jc w:val="both"/>
      </w:pPr>
      <w:r>
        <w:rPr>
          <w:rFonts w:ascii="Open Sans" w:hAnsi="Open Sans"/>
          <w:b/>
          <w:color w:val="191C4A"/>
          <w:sz w:val="21"/>
        </w:rPr>
        <w:t>11.3</w:t>
        <w:tab/>
      </w:r>
      <w:r>
        <w:rPr>
          <w:rFonts w:ascii="Open Sans" w:hAnsi="Open Sans"/>
          <w:b w:val="0"/>
          <w:i w:val="0"/>
          <w:sz w:val="21"/>
        </w:rPr>
        <w:t xml:space="preserve">The other shareholders have </w:t>
      </w:r>
      <w:r>
        <w:rPr>
          <w:rFonts w:ascii="Open Sans" w:hAnsi="Open Sans"/>
          <w:b w:val="0"/>
          <w:i w:val="0"/>
          <w:color w:val="21759B"/>
          <w:sz w:val="21"/>
        </w:rPr>
        <w:t>[20]</w:t>
      </w:r>
      <w:r>
        <w:rPr>
          <w:rFonts w:ascii="Open Sans" w:hAnsi="Open Sans"/>
          <w:b w:val="0"/>
          <w:i w:val="0"/>
          <w:sz w:val="21"/>
        </w:rPr>
        <w:t xml:space="preserve"> business days from receiving the transfer notice to accept, in proportion to their existing holdings. A shareholder who does not take up the full proportion offered is treated as declining it, and the balance is offered again to those who did accept, for a further </w:t>
      </w:r>
      <w:r>
        <w:rPr>
          <w:rFonts w:ascii="Open Sans" w:hAnsi="Open Sans"/>
          <w:b w:val="0"/>
          <w:i w:val="0"/>
          <w:color w:val="21759B"/>
          <w:sz w:val="21"/>
        </w:rPr>
        <w:t>[10]</w:t>
      </w:r>
      <w:r>
        <w:rPr>
          <w:rFonts w:ascii="Open Sans" w:hAnsi="Open Sans"/>
          <w:b w:val="0"/>
          <w:i w:val="0"/>
          <w:sz w:val="21"/>
        </w:rPr>
        <w:t xml:space="preserve"> business days.</w:t>
      </w:r>
    </w:p>
    <w:p>
      <w:pPr>
        <w:spacing w:after="80"/>
        <w:ind w:left="624" w:hanging="624"/>
        <w:jc w:val="both"/>
      </w:pPr>
      <w:r>
        <w:rPr>
          <w:rFonts w:ascii="Open Sans" w:hAnsi="Open Sans"/>
          <w:b/>
          <w:color w:val="191C4A"/>
          <w:sz w:val="21"/>
        </w:rPr>
        <w:t>11.4</w:t>
        <w:tab/>
      </w:r>
      <w:r>
        <w:rPr>
          <w:rFonts w:ascii="Open Sans" w:hAnsi="Open Sans"/>
          <w:b w:val="0"/>
          <w:i w:val="0"/>
          <w:sz w:val="21"/>
        </w:rPr>
        <w:t xml:space="preserve">If the other shareholders do not take up all of the shares, the selling shareholder may sell those remaining shares to a third party within </w:t>
      </w:r>
      <w:r>
        <w:rPr>
          <w:rFonts w:ascii="Open Sans" w:hAnsi="Open Sans"/>
          <w:b w:val="0"/>
          <w:i w:val="0"/>
          <w:color w:val="21759B"/>
          <w:sz w:val="21"/>
        </w:rPr>
        <w:t>[60]</w:t>
      </w:r>
      <w:r>
        <w:rPr>
          <w:rFonts w:ascii="Open Sans" w:hAnsi="Open Sans"/>
          <w:b w:val="0"/>
          <w:i w:val="0"/>
          <w:sz w:val="21"/>
        </w:rPr>
        <w:t xml:space="preserve"> business days, at a price not lower than the price in the transfer notice and on terms no more favourable than those offered to the other shareholders.</w:t>
      </w:r>
    </w:p>
    <w:p>
      <w:pPr>
        <w:spacing w:after="80"/>
        <w:ind w:left="624" w:hanging="624"/>
        <w:jc w:val="both"/>
      </w:pPr>
      <w:r>
        <w:rPr>
          <w:rFonts w:ascii="Open Sans" w:hAnsi="Open Sans"/>
          <w:b/>
          <w:color w:val="191C4A"/>
          <w:sz w:val="21"/>
        </w:rPr>
        <w:t>11.5</w:t>
        <w:tab/>
      </w:r>
      <w:r>
        <w:rPr>
          <w:rFonts w:ascii="Open Sans" w:hAnsi="Open Sans"/>
          <w:b w:val="0"/>
          <w:i w:val="0"/>
          <w:sz w:val="21"/>
        </w:rPr>
        <w:t xml:space="preserve">After that </w:t>
      </w:r>
      <w:r>
        <w:rPr>
          <w:rFonts w:ascii="Open Sans" w:hAnsi="Open Sans"/>
          <w:b w:val="0"/>
          <w:i w:val="0"/>
          <w:color w:val="21759B"/>
          <w:sz w:val="21"/>
        </w:rPr>
        <w:t>[60]</w:t>
      </w:r>
      <w:r>
        <w:rPr>
          <w:rFonts w:ascii="Open Sans" w:hAnsi="Open Sans"/>
          <w:b w:val="0"/>
          <w:i w:val="0"/>
          <w:sz w:val="21"/>
        </w:rPr>
        <w:t xml:space="preserve"> business day period the shares may not be sold without a fresh transfer notice.</w:t>
      </w:r>
    </w:p>
    <w:p>
      <w:pPr>
        <w:spacing w:after="80"/>
        <w:ind w:left="624" w:hanging="624"/>
        <w:jc w:val="both"/>
      </w:pPr>
      <w:r>
        <w:rPr>
          <w:rFonts w:ascii="Open Sans" w:hAnsi="Open Sans"/>
          <w:b/>
          <w:color w:val="191C4A"/>
          <w:sz w:val="21"/>
        </w:rPr>
        <w:t>11.6</w:t>
        <w:tab/>
      </w:r>
      <w:r>
        <w:rPr>
          <w:rFonts w:ascii="Open Sans" w:hAnsi="Open Sans"/>
          <w:b w:val="0"/>
          <w:i w:val="0"/>
          <w:sz w:val="21"/>
        </w:rPr>
        <w:t>Where the transfer notice does not state a price, or the shareholders dispute it, the price is the fair value determined under Schedule B.</w:t>
      </w:r>
    </w:p>
    <w:p>
      <w:pPr>
        <w:keepNext/>
        <w:spacing w:before="200" w:after="60"/>
      </w:pPr>
      <w:r>
        <w:rPr>
          <w:rFonts w:ascii="Montserrat" w:hAnsi="Montserrat"/>
          <w:b/>
          <w:color w:val="191C4A"/>
          <w:sz w:val="21"/>
        </w:rPr>
        <w:t>12. TRANSFERS THAT DO NOT NEED AN OFFER FIRST</w:t>
      </w:r>
    </w:p>
    <w:p>
      <w:pPr>
        <w:spacing w:after="80"/>
        <w:ind w:left="624" w:hanging="624"/>
        <w:jc w:val="both"/>
      </w:pPr>
      <w:r>
        <w:rPr>
          <w:rFonts w:ascii="Open Sans" w:hAnsi="Open Sans"/>
          <w:b/>
          <w:color w:val="191C4A"/>
          <w:sz w:val="21"/>
        </w:rPr>
        <w:t>12.1</w:t>
        <w:tab/>
      </w:r>
      <w:r>
        <w:rPr>
          <w:rFonts w:ascii="Open Sans" w:hAnsi="Open Sans"/>
          <w:b w:val="0"/>
          <w:i w:val="0"/>
          <w:sz w:val="21"/>
        </w:rPr>
        <w:t>A shareholder may transfer shares without following clause 11 to a company wholly owned by that shareholder, to a trust of which that shareholder is a trustee and a beneficiary, or to that shareholder's spouse or a lineal descendant, provided the other shareholders consent in writing and that consent is not unreasonably withheld.</w:t>
      </w:r>
    </w:p>
    <w:p>
      <w:pPr>
        <w:spacing w:after="80"/>
        <w:ind w:left="624" w:hanging="624"/>
        <w:jc w:val="both"/>
      </w:pPr>
      <w:r>
        <w:rPr>
          <w:rFonts w:ascii="Open Sans" w:hAnsi="Open Sans"/>
          <w:b/>
          <w:color w:val="191C4A"/>
          <w:sz w:val="21"/>
        </w:rPr>
        <w:t>12.2</w:t>
        <w:tab/>
      </w:r>
      <w:r>
        <w:rPr>
          <w:rFonts w:ascii="Open Sans" w:hAnsi="Open Sans"/>
          <w:b w:val="0"/>
          <w:i w:val="0"/>
          <w:sz w:val="21"/>
        </w:rPr>
        <w:t>The transferee must first sign a written undertaking to be bound by this MOI and by any shareholders agreement in force.</w:t>
      </w:r>
    </w:p>
    <w:p>
      <w:pPr>
        <w:spacing w:after="80"/>
        <w:ind w:left="624" w:hanging="624"/>
        <w:jc w:val="both"/>
      </w:pPr>
      <w:r>
        <w:rPr>
          <w:rFonts w:ascii="Open Sans" w:hAnsi="Open Sans"/>
          <w:b/>
          <w:color w:val="191C4A"/>
          <w:sz w:val="21"/>
        </w:rPr>
        <w:t>12.3</w:t>
        <w:tab/>
      </w:r>
      <w:r>
        <w:rPr>
          <w:rFonts w:ascii="Open Sans" w:hAnsi="Open Sans"/>
          <w:b w:val="0"/>
          <w:i w:val="0"/>
          <w:sz w:val="21"/>
        </w:rPr>
        <w:t xml:space="preserve">If the transferee later stops meeting the description in clause 12.1, the shares must be transferred back within </w:t>
      </w:r>
      <w:r>
        <w:rPr>
          <w:rFonts w:ascii="Open Sans" w:hAnsi="Open Sans"/>
          <w:b w:val="0"/>
          <w:i w:val="0"/>
          <w:color w:val="21759B"/>
          <w:sz w:val="21"/>
        </w:rPr>
        <w:t>[30]</w:t>
      </w:r>
      <w:r>
        <w:rPr>
          <w:rFonts w:ascii="Open Sans" w:hAnsi="Open Sans"/>
          <w:b w:val="0"/>
          <w:i w:val="0"/>
          <w:sz w:val="21"/>
        </w:rPr>
        <w:t xml:space="preserve"> business days.</w:t>
      </w:r>
    </w:p>
    <w:p>
      <w:pPr>
        <w:pStyle w:val="Heading1"/>
      </w:pPr>
      <w:r>
        <w:t>Part 5: Directors and the Board</w:t>
      </w:r>
    </w:p>
    <w:p>
      <w:pPr>
        <w:keepNext/>
        <w:spacing w:before="200" w:after="60"/>
      </w:pPr>
      <w:r>
        <w:rPr>
          <w:rFonts w:ascii="Montserrat" w:hAnsi="Montserrat"/>
          <w:b/>
          <w:color w:val="191C4A"/>
          <w:sz w:val="21"/>
        </w:rPr>
        <w:t>13. NUMBER AND APPOINTMENT OF DIRECTORS</w:t>
      </w:r>
    </w:p>
    <w:p>
      <w:pPr>
        <w:spacing w:after="80"/>
        <w:ind w:left="624" w:hanging="624"/>
        <w:jc w:val="both"/>
      </w:pPr>
      <w:r>
        <w:rPr>
          <w:rFonts w:ascii="Open Sans" w:hAnsi="Open Sans"/>
          <w:b/>
          <w:color w:val="191C4A"/>
          <w:sz w:val="21"/>
        </w:rPr>
        <w:t>13.1</w:t>
        <w:tab/>
      </w:r>
      <w:r>
        <w:rPr>
          <w:rFonts w:ascii="Open Sans" w:hAnsi="Open Sans"/>
          <w:b w:val="0"/>
          <w:i w:val="0"/>
          <w:sz w:val="21"/>
        </w:rPr>
        <w:t xml:space="preserve">The Act requires a private company to have at least one director, in section 66(2). This MOI sets the minimum number of directors at </w:t>
      </w:r>
      <w:r>
        <w:rPr>
          <w:rFonts w:ascii="Open Sans" w:hAnsi="Open Sans"/>
          <w:b w:val="0"/>
          <w:i w:val="0"/>
          <w:color w:val="21759B"/>
          <w:sz w:val="21"/>
        </w:rPr>
        <w:t>[2]</w:t>
      </w:r>
      <w:r>
        <w:rPr>
          <w:rFonts w:ascii="Open Sans" w:hAnsi="Open Sans"/>
          <w:b w:val="0"/>
          <w:i w:val="0"/>
          <w:sz w:val="21"/>
        </w:rPr>
        <w:t xml:space="preserve"> and the maximum at </w:t>
      </w:r>
      <w:r>
        <w:rPr>
          <w:rFonts w:ascii="Open Sans" w:hAnsi="Open Sans"/>
          <w:b w:val="0"/>
          <w:i w:val="0"/>
          <w:color w:val="21759B"/>
          <w:sz w:val="21"/>
        </w:rPr>
        <w:t>[5]</w:t>
      </w:r>
      <w:r>
        <w:rPr>
          <w:rFonts w:ascii="Open Sans" w:hAnsi="Open Sans"/>
          <w:b w:val="0"/>
          <w:i w:val="0"/>
          <w:sz w:val="21"/>
        </w:rPr>
        <w:t>.</w:t>
      </w:r>
    </w:p>
    <w:p>
      <w:pPr>
        <w:spacing w:after="80"/>
        <w:ind w:left="624" w:hanging="624"/>
        <w:jc w:val="both"/>
      </w:pPr>
      <w:r>
        <w:rPr>
          <w:rFonts w:ascii="Open Sans" w:hAnsi="Open Sans"/>
          <w:b/>
          <w:color w:val="191C4A"/>
          <w:sz w:val="21"/>
        </w:rPr>
        <w:t>13.2</w:t>
        <w:tab/>
      </w:r>
      <w:r>
        <w:rPr>
          <w:rFonts w:ascii="Open Sans" w:hAnsi="Open Sans"/>
          <w:b w:val="0"/>
          <w:i w:val="0"/>
          <w:sz w:val="21"/>
        </w:rPr>
        <w:t>Every director other than an ex officio director or an alternate director is elected by the shareholders by ordinary resolution.</w:t>
      </w:r>
    </w:p>
    <w:p>
      <w:pPr>
        <w:spacing w:after="80"/>
        <w:ind w:left="624" w:hanging="624"/>
        <w:jc w:val="both"/>
      </w:pPr>
      <w:r>
        <w:rPr>
          <w:rFonts w:ascii="Open Sans" w:hAnsi="Open Sans"/>
          <w:b/>
          <w:color w:val="191C4A"/>
          <w:sz w:val="21"/>
        </w:rPr>
        <w:t>13.3</w:t>
        <w:tab/>
      </w:r>
      <w:r>
        <w:rPr>
          <w:rFonts w:ascii="Open Sans" w:hAnsi="Open Sans"/>
          <w:b w:val="0"/>
          <w:i w:val="0"/>
          <w:sz w:val="21"/>
        </w:rPr>
        <w:t>The first directors are the persons named in Schedule A, who hold office from the date of incorporation until the first election of directors.</w:t>
      </w:r>
    </w:p>
    <w:p>
      <w:pPr>
        <w:spacing w:after="80"/>
        <w:ind w:left="624" w:hanging="624"/>
        <w:jc w:val="both"/>
      </w:pPr>
      <w:r>
        <w:rPr>
          <w:rFonts w:ascii="Open Sans" w:hAnsi="Open Sans"/>
          <w:b/>
          <w:color w:val="191C4A"/>
          <w:sz w:val="21"/>
        </w:rPr>
        <w:t>13.4</w:t>
        <w:tab/>
      </w:r>
      <w:r>
        <w:rPr>
          <w:rFonts w:ascii="Open Sans" w:hAnsi="Open Sans"/>
          <w:b w:val="0"/>
          <w:i w:val="0"/>
          <w:sz w:val="21"/>
        </w:rPr>
        <w:t>The Board may appoint a person to fill a vacancy or as an additional director, provided the maximum in clause 13.1 is not exceeded. A director appointed that way holds office until the next shareholders meeting at which directors are elected, and must be confirmed by ordinary resolution at that meeting.</w:t>
      </w:r>
    </w:p>
    <w:p>
      <w:pPr>
        <w:spacing w:after="80"/>
        <w:ind w:left="624" w:hanging="624"/>
        <w:jc w:val="both"/>
      </w:pPr>
      <w:r>
        <w:rPr>
          <w:rFonts w:ascii="Open Sans" w:hAnsi="Open Sans"/>
          <w:b/>
          <w:color w:val="191C4A"/>
          <w:sz w:val="21"/>
        </w:rPr>
        <w:t>13.5</w:t>
        <w:tab/>
      </w:r>
      <w:r>
        <w:rPr>
          <w:rFonts w:ascii="Open Sans" w:hAnsi="Open Sans"/>
          <w:b w:val="0"/>
          <w:i w:val="0"/>
          <w:sz w:val="21"/>
        </w:rPr>
        <w:t>A director need not be a shareholder.</w:t>
      </w:r>
    </w:p>
    <w:p>
      <w:pPr>
        <w:spacing w:after="80"/>
        <w:ind w:left="624" w:hanging="624"/>
        <w:jc w:val="both"/>
      </w:pPr>
      <w:r>
        <w:rPr>
          <w:rFonts w:ascii="Open Sans" w:hAnsi="Open Sans"/>
          <w:b/>
          <w:color w:val="191C4A"/>
          <w:sz w:val="21"/>
        </w:rPr>
        <w:t>13.6</w:t>
        <w:tab/>
      </w:r>
      <w:r>
        <w:rPr>
          <w:rFonts w:ascii="Open Sans" w:hAnsi="Open Sans"/>
          <w:b w:val="0"/>
          <w:i w:val="0"/>
          <w:sz w:val="21"/>
        </w:rPr>
        <w:t>A person may not be appointed as a director if that person is disqualified or ineligible under section 69 of the Act. The Company must check this before appointing anyone, and the appointment of a disqualified person is a nullity.</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Section 69 of the Act disqualifies, among others, an unrehabilitated insolvent, a person prohibited by a court from being a director, a person declared delinquent, and a person convicted of theft, fraud, forgery, perjury or an offence involving dishonesty. Under the Companies Second Amendment Act 17 of 2024 a court may hear a delinquency application for up to five years after the conduct, and may extend that on good cause.</w:t>
      </w:r>
    </w:p>
    <w:p>
      <w:pPr>
        <w:keepNext/>
        <w:spacing w:before="200" w:after="60"/>
      </w:pPr>
      <w:r>
        <w:rPr>
          <w:rFonts w:ascii="Montserrat" w:hAnsi="Montserrat"/>
          <w:b/>
          <w:color w:val="191C4A"/>
          <w:sz w:val="21"/>
        </w:rPr>
        <w:t>14. EX OFFICIO AND ALTERNATE DIRECTORS</w:t>
      </w:r>
    </w:p>
    <w:p>
      <w:pPr>
        <w:spacing w:after="80"/>
        <w:ind w:left="624" w:hanging="624"/>
        <w:jc w:val="both"/>
      </w:pPr>
      <w:r>
        <w:rPr>
          <w:rFonts w:ascii="Open Sans" w:hAnsi="Open Sans"/>
          <w:b/>
          <w:color w:val="191C4A"/>
          <w:sz w:val="21"/>
        </w:rPr>
        <w:t>14.1</w:t>
        <w:tab/>
      </w:r>
      <w:r>
        <w:rPr>
          <w:rFonts w:ascii="Open Sans" w:hAnsi="Open Sans"/>
          <w:b w:val="0"/>
          <w:i w:val="0"/>
          <w:color w:val="21759B"/>
          <w:sz w:val="21"/>
        </w:rPr>
        <w:t>[Option, delete if not used.]</w:t>
      </w:r>
      <w:r>
        <w:rPr>
          <w:rFonts w:ascii="Open Sans" w:hAnsi="Open Sans"/>
          <w:b w:val="0"/>
          <w:i w:val="0"/>
          <w:sz w:val="21"/>
        </w:rPr>
        <w:t xml:space="preserve"> The person who from time to time holds the office of [describe the office, for example the managing director of </w:t>
      </w:r>
      <w:r>
        <w:rPr>
          <w:rFonts w:ascii="Open Sans" w:hAnsi="Open Sans"/>
          <w:b w:val="0"/>
          <w:i w:val="0"/>
          <w:color w:val="21759B"/>
          <w:sz w:val="21"/>
        </w:rPr>
        <w:t>[HOLDING COMPANY NAME]</w:t>
      </w:r>
      <w:r>
        <w:rPr>
          <w:rFonts w:ascii="Open Sans" w:hAnsi="Open Sans"/>
          <w:b w:val="0"/>
          <w:i w:val="0"/>
          <w:sz w:val="21"/>
        </w:rPr>
        <w:t xml:space="preserve"> or the chief executive officer of the Company] is a director of the Company by virtue of that office, without being elected. That person is an ex officio director, has all the powers, duties and liabilities of any other director, and stops being a director as soon as that person stops holding the office.</w:t>
      </w:r>
    </w:p>
    <w:p>
      <w:pPr>
        <w:spacing w:after="80"/>
        <w:ind w:left="624" w:hanging="624"/>
        <w:jc w:val="both"/>
      </w:pPr>
      <w:r>
        <w:rPr>
          <w:rFonts w:ascii="Open Sans" w:hAnsi="Open Sans"/>
          <w:b/>
          <w:color w:val="191C4A"/>
          <w:sz w:val="21"/>
        </w:rPr>
        <w:t>14.2</w:t>
        <w:tab/>
      </w:r>
      <w:r>
        <w:rPr>
          <w:rFonts w:ascii="Open Sans" w:hAnsi="Open Sans"/>
          <w:b w:val="0"/>
          <w:i w:val="0"/>
          <w:sz w:val="21"/>
        </w:rPr>
        <w:t>An ex officio appointment is only possible because this is a customised MOI. It is a useful way of tying board control to a role, for example to a funder's nominee or to a founder while the founder remains chief executive.</w:t>
      </w:r>
    </w:p>
    <w:p>
      <w:pPr>
        <w:spacing w:after="80"/>
        <w:ind w:left="624" w:hanging="624"/>
        <w:jc w:val="both"/>
      </w:pPr>
      <w:r>
        <w:rPr>
          <w:rFonts w:ascii="Open Sans" w:hAnsi="Open Sans"/>
          <w:b/>
          <w:color w:val="191C4A"/>
          <w:sz w:val="21"/>
        </w:rPr>
        <w:t>14.3</w:t>
        <w:tab/>
      </w:r>
      <w:r>
        <w:rPr>
          <w:rFonts w:ascii="Open Sans" w:hAnsi="Open Sans"/>
          <w:b w:val="0"/>
          <w:i w:val="0"/>
          <w:sz w:val="21"/>
        </w:rPr>
        <w:t>A director may appoint an alternate to act in that director's place when the director is unable to attend, provided the appointment is in writing to the Company and the other directors approve the person by ordinary resolution of the Board.</w:t>
      </w:r>
    </w:p>
    <w:p>
      <w:pPr>
        <w:spacing w:after="80"/>
        <w:ind w:left="624" w:hanging="624"/>
        <w:jc w:val="both"/>
      </w:pPr>
      <w:r>
        <w:rPr>
          <w:rFonts w:ascii="Open Sans" w:hAnsi="Open Sans"/>
          <w:b/>
          <w:color w:val="191C4A"/>
          <w:sz w:val="21"/>
        </w:rPr>
        <w:t>14.4</w:t>
        <w:tab/>
      </w:r>
      <w:r>
        <w:rPr>
          <w:rFonts w:ascii="Open Sans" w:hAnsi="Open Sans"/>
          <w:b w:val="0"/>
          <w:i w:val="0"/>
          <w:sz w:val="21"/>
        </w:rPr>
        <w:t>An alternate director has the same duties and liabilities as the appointing director while acting, may vote only in the absence of the appointing director, and counts towards a quorum only in that absence. The appointment ends when the appointing director's term ends or when the appointing director withdraws it in writing.</w:t>
      </w:r>
    </w:p>
    <w:p>
      <w:pPr>
        <w:keepNext/>
        <w:spacing w:before="200" w:after="60"/>
      </w:pPr>
      <w:r>
        <w:rPr>
          <w:rFonts w:ascii="Montserrat" w:hAnsi="Montserrat"/>
          <w:b/>
          <w:color w:val="191C4A"/>
          <w:sz w:val="21"/>
        </w:rPr>
        <w:t>15. REMOVAL OF DIRECTORS AND VACATION OF OFFICE</w:t>
      </w:r>
    </w:p>
    <w:p>
      <w:pPr>
        <w:spacing w:after="80"/>
        <w:ind w:left="624" w:hanging="624"/>
        <w:jc w:val="both"/>
      </w:pPr>
      <w:r>
        <w:rPr>
          <w:rFonts w:ascii="Open Sans" w:hAnsi="Open Sans"/>
          <w:b/>
          <w:color w:val="191C4A"/>
          <w:sz w:val="21"/>
        </w:rPr>
        <w:t>15.1</w:t>
        <w:tab/>
      </w:r>
      <w:r>
        <w:rPr>
          <w:rFonts w:ascii="Open Sans" w:hAnsi="Open Sans"/>
          <w:b w:val="0"/>
          <w:i w:val="0"/>
          <w:sz w:val="21"/>
        </w:rPr>
        <w:t>A director stops being a director when that director resigns in writing, dies, becomes disqualified or ineligible under section 69 of the Act, or is removed under clause 15.2 or 15.3.</w:t>
      </w:r>
    </w:p>
    <w:p>
      <w:pPr>
        <w:spacing w:after="80"/>
        <w:ind w:left="624" w:hanging="624"/>
        <w:jc w:val="both"/>
      </w:pPr>
      <w:r>
        <w:rPr>
          <w:rFonts w:ascii="Open Sans" w:hAnsi="Open Sans"/>
          <w:b/>
          <w:color w:val="191C4A"/>
          <w:sz w:val="21"/>
        </w:rPr>
        <w:t>15.2</w:t>
        <w:tab/>
      </w:r>
      <w:r>
        <w:rPr>
          <w:rFonts w:ascii="Open Sans" w:hAnsi="Open Sans"/>
          <w:b w:val="0"/>
          <w:i w:val="0"/>
          <w:sz w:val="21"/>
        </w:rPr>
        <w:t>The shareholders may remove a director by ordinary resolution at any time, under section 71(1) of the Act. That right cannot be taken away by this MOI. Before the vote the director must be given notice of the meeting and of the resolution, and a reasonable opportunity to state a case to the meeting, in person or through a representative.</w:t>
      </w:r>
    </w:p>
    <w:p>
      <w:pPr>
        <w:spacing w:after="80"/>
        <w:ind w:left="624" w:hanging="624"/>
        <w:jc w:val="both"/>
      </w:pPr>
      <w:r>
        <w:rPr>
          <w:rFonts w:ascii="Open Sans" w:hAnsi="Open Sans"/>
          <w:b/>
          <w:color w:val="191C4A"/>
          <w:sz w:val="21"/>
        </w:rPr>
        <w:t>15.3</w:t>
        <w:tab/>
      </w:r>
      <w:r>
        <w:rPr>
          <w:rFonts w:ascii="Open Sans" w:hAnsi="Open Sans"/>
          <w:b w:val="0"/>
          <w:i w:val="0"/>
          <w:sz w:val="21"/>
        </w:rPr>
        <w:t>Where the Board has more than two directors, the Board may remove a director under section 71(3) of the Act if that director has become ineligible or disqualified, is incapacitated and unlikely to recover within a reasonable time, or has neglected or been derelict in the performance of the functions of a director. The affected director must be given notice and an opportunity to be heard, and may apply to court to review the decision.</w:t>
      </w:r>
    </w:p>
    <w:p>
      <w:pPr>
        <w:spacing w:after="80"/>
        <w:ind w:left="624" w:hanging="624"/>
        <w:jc w:val="both"/>
      </w:pPr>
      <w:r>
        <w:rPr>
          <w:rFonts w:ascii="Open Sans" w:hAnsi="Open Sans"/>
          <w:b/>
          <w:color w:val="191C4A"/>
          <w:sz w:val="21"/>
        </w:rPr>
        <w:t>15.4</w:t>
        <w:tab/>
      </w:r>
      <w:r>
        <w:rPr>
          <w:rFonts w:ascii="Open Sans" w:hAnsi="Open Sans"/>
          <w:b w:val="0"/>
          <w:i w:val="0"/>
          <w:sz w:val="21"/>
        </w:rPr>
        <w:t>The Company must file the change of directors with CIPC within the period the Act requires, and must update its own records.</w:t>
      </w:r>
    </w:p>
    <w:p>
      <w:pPr>
        <w:keepNext/>
        <w:spacing w:before="200" w:after="60"/>
      </w:pPr>
      <w:r>
        <w:rPr>
          <w:rFonts w:ascii="Montserrat" w:hAnsi="Montserrat"/>
          <w:b/>
          <w:color w:val="191C4A"/>
          <w:sz w:val="21"/>
        </w:rPr>
        <w:t>16. BOARD MEETINGS, QUORUM AND DECISIONS</w:t>
      </w:r>
    </w:p>
    <w:p>
      <w:pPr>
        <w:spacing w:after="80"/>
        <w:ind w:left="624" w:hanging="624"/>
        <w:jc w:val="both"/>
      </w:pPr>
      <w:r>
        <w:rPr>
          <w:rFonts w:ascii="Open Sans" w:hAnsi="Open Sans"/>
          <w:b/>
          <w:color w:val="191C4A"/>
          <w:sz w:val="21"/>
        </w:rPr>
        <w:t>16.1</w:t>
        <w:tab/>
      </w:r>
      <w:r>
        <w:rPr>
          <w:rFonts w:ascii="Open Sans" w:hAnsi="Open Sans"/>
          <w:b w:val="0"/>
          <w:i w:val="0"/>
          <w:sz w:val="21"/>
        </w:rPr>
        <w:t xml:space="preserve">The Board must meet at least </w:t>
      </w:r>
      <w:r>
        <w:rPr>
          <w:rFonts w:ascii="Open Sans" w:hAnsi="Open Sans"/>
          <w:b w:val="0"/>
          <w:i w:val="0"/>
          <w:color w:val="21759B"/>
          <w:sz w:val="21"/>
        </w:rPr>
        <w:t>[once every three months]</w:t>
      </w:r>
      <w:r>
        <w:rPr>
          <w:rFonts w:ascii="Open Sans" w:hAnsi="Open Sans"/>
          <w:b w:val="0"/>
          <w:i w:val="0"/>
          <w:sz w:val="21"/>
        </w:rPr>
        <w:t>, and otherwise as often as the business of the Company requires.</w:t>
      </w:r>
    </w:p>
    <w:p>
      <w:pPr>
        <w:spacing w:after="80"/>
        <w:ind w:left="624" w:hanging="624"/>
        <w:jc w:val="both"/>
      </w:pPr>
      <w:r>
        <w:rPr>
          <w:rFonts w:ascii="Open Sans" w:hAnsi="Open Sans"/>
          <w:b/>
          <w:color w:val="191C4A"/>
          <w:sz w:val="21"/>
        </w:rPr>
        <w:t>16.2</w:t>
        <w:tab/>
      </w:r>
      <w:r>
        <w:rPr>
          <w:rFonts w:ascii="Open Sans" w:hAnsi="Open Sans"/>
          <w:b w:val="0"/>
          <w:i w:val="0"/>
          <w:sz w:val="21"/>
        </w:rPr>
        <w:t xml:space="preserve">Any director may call a Board meeting. Notice of at least </w:t>
      </w:r>
      <w:r>
        <w:rPr>
          <w:rFonts w:ascii="Open Sans" w:hAnsi="Open Sans"/>
          <w:b w:val="0"/>
          <w:i w:val="0"/>
          <w:color w:val="21759B"/>
          <w:sz w:val="21"/>
        </w:rPr>
        <w:t>[5]</w:t>
      </w:r>
      <w:r>
        <w:rPr>
          <w:rFonts w:ascii="Open Sans" w:hAnsi="Open Sans"/>
          <w:b w:val="0"/>
          <w:i w:val="0"/>
          <w:sz w:val="21"/>
        </w:rPr>
        <w:t xml:space="preserve"> business days must be given to every director, stating the date, time, place and agenda, unless all directors agree in writing to shorter notice or waive notice.</w:t>
      </w:r>
    </w:p>
    <w:p>
      <w:pPr>
        <w:spacing w:after="80"/>
        <w:ind w:left="624" w:hanging="624"/>
        <w:jc w:val="both"/>
      </w:pPr>
      <w:r>
        <w:rPr>
          <w:rFonts w:ascii="Open Sans" w:hAnsi="Open Sans"/>
          <w:b/>
          <w:color w:val="191C4A"/>
          <w:sz w:val="21"/>
        </w:rPr>
        <w:t>16.3</w:t>
        <w:tab/>
      </w:r>
      <w:r>
        <w:rPr>
          <w:rFonts w:ascii="Open Sans" w:hAnsi="Open Sans"/>
          <w:b w:val="0"/>
          <w:i w:val="0"/>
          <w:sz w:val="21"/>
        </w:rPr>
        <w:t xml:space="preserve">A quorum for a Board meeting is a majority of the directors then in office, and never fewer than </w:t>
      </w:r>
      <w:r>
        <w:rPr>
          <w:rFonts w:ascii="Open Sans" w:hAnsi="Open Sans"/>
          <w:b w:val="0"/>
          <w:i w:val="0"/>
          <w:color w:val="21759B"/>
          <w:sz w:val="21"/>
        </w:rPr>
        <w:t>[2]</w:t>
      </w:r>
      <w:r>
        <w:rPr>
          <w:rFonts w:ascii="Open Sans" w:hAnsi="Open Sans"/>
          <w:b w:val="0"/>
          <w:i w:val="0"/>
          <w:sz w:val="21"/>
        </w:rPr>
        <w:t xml:space="preserve"> directors.</w:t>
      </w:r>
    </w:p>
    <w:p>
      <w:pPr>
        <w:spacing w:after="80"/>
        <w:ind w:left="624" w:hanging="624"/>
        <w:jc w:val="both"/>
      </w:pPr>
      <w:r>
        <w:rPr>
          <w:rFonts w:ascii="Open Sans" w:hAnsi="Open Sans"/>
          <w:b/>
          <w:color w:val="191C4A"/>
          <w:sz w:val="21"/>
        </w:rPr>
        <w:t>16.4</w:t>
        <w:tab/>
      </w:r>
      <w:r>
        <w:rPr>
          <w:rFonts w:ascii="Open Sans" w:hAnsi="Open Sans"/>
          <w:b w:val="0"/>
          <w:i w:val="0"/>
          <w:sz w:val="21"/>
        </w:rPr>
        <w:t xml:space="preserve">Each director has one vote. A resolution of the Board is passed if supported by a majority of the votes cast at a quorate meeting. </w:t>
      </w:r>
      <w:r>
        <w:rPr>
          <w:rFonts w:ascii="Open Sans" w:hAnsi="Open Sans"/>
          <w:b w:val="0"/>
          <w:i w:val="0"/>
          <w:color w:val="21759B"/>
          <w:sz w:val="21"/>
        </w:rPr>
        <w:t>[The chairperson has a casting vote in the event of an equality of votes]</w:t>
      </w:r>
      <w:r>
        <w:rPr>
          <w:rFonts w:ascii="Open Sans" w:hAnsi="Open Sans"/>
          <w:b w:val="0"/>
          <w:i w:val="0"/>
          <w:sz w:val="21"/>
        </w:rPr>
        <w:t xml:space="preserve"> or </w:t>
      </w:r>
      <w:r>
        <w:rPr>
          <w:rFonts w:ascii="Open Sans" w:hAnsi="Open Sans"/>
          <w:b w:val="0"/>
          <w:i w:val="0"/>
          <w:color w:val="21759B"/>
          <w:sz w:val="21"/>
        </w:rPr>
        <w:t>[The chairperson has no casting vote, and a tied resolution fails]</w:t>
      </w:r>
      <w:r>
        <w:rPr>
          <w:rFonts w:ascii="Open Sans" w:hAnsi="Open Sans"/>
          <w:b w:val="0"/>
          <w:i w:val="0"/>
          <w:sz w:val="21"/>
        </w:rPr>
        <w:t>.</w:t>
      </w:r>
    </w:p>
    <w:p>
      <w:pPr>
        <w:spacing w:after="80"/>
        <w:ind w:left="624" w:hanging="624"/>
        <w:jc w:val="both"/>
      </w:pPr>
      <w:r>
        <w:rPr>
          <w:rFonts w:ascii="Open Sans" w:hAnsi="Open Sans"/>
          <w:b/>
          <w:color w:val="191C4A"/>
          <w:sz w:val="21"/>
        </w:rPr>
        <w:t>16.5</w:t>
        <w:tab/>
      </w:r>
      <w:r>
        <w:rPr>
          <w:rFonts w:ascii="Open Sans" w:hAnsi="Open Sans"/>
          <w:b w:val="0"/>
          <w:i w:val="0"/>
          <w:sz w:val="21"/>
        </w:rPr>
        <w:t>Directors may take part in a meeting by telephone or any electronic means that allows everyone taking part to hear one another at the same time. A director taking part that way is present for the purpose of the quorum.</w:t>
      </w:r>
    </w:p>
    <w:p>
      <w:pPr>
        <w:spacing w:after="80"/>
        <w:ind w:left="624" w:hanging="624"/>
        <w:jc w:val="both"/>
      </w:pPr>
      <w:r>
        <w:rPr>
          <w:rFonts w:ascii="Open Sans" w:hAnsi="Open Sans"/>
          <w:b/>
          <w:color w:val="191C4A"/>
          <w:sz w:val="21"/>
        </w:rPr>
        <w:t>16.6</w:t>
        <w:tab/>
      </w:r>
      <w:r>
        <w:rPr>
          <w:rFonts w:ascii="Open Sans" w:hAnsi="Open Sans"/>
          <w:b w:val="0"/>
          <w:i w:val="0"/>
          <w:sz w:val="21"/>
        </w:rPr>
        <w:t>A written resolution signed by all the directors, in counterparts if necessary, is as valid as a resolution passed at a properly called meeting, and takes effect on the date of the last signature.</w:t>
      </w:r>
    </w:p>
    <w:p>
      <w:pPr>
        <w:spacing w:after="80"/>
        <w:ind w:left="624" w:hanging="624"/>
        <w:jc w:val="both"/>
      </w:pPr>
      <w:r>
        <w:rPr>
          <w:rFonts w:ascii="Open Sans" w:hAnsi="Open Sans"/>
          <w:b/>
          <w:color w:val="191C4A"/>
          <w:sz w:val="21"/>
        </w:rPr>
        <w:t>16.7</w:t>
        <w:tab/>
      </w:r>
      <w:r>
        <w:rPr>
          <w:rFonts w:ascii="Open Sans" w:hAnsi="Open Sans"/>
          <w:b w:val="0"/>
          <w:i w:val="0"/>
          <w:sz w:val="21"/>
        </w:rPr>
        <w:t>The Company must keep minutes of every Board meeting and every resolution, and keep them for seven years, as section 24 of the Act requires.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casting vote choice matters more than it looks. In a company with two equal owners who are both directors, a casting vote hands control to whoever chairs. If the two of you are meant to be equal, delete the casting vote and use the deadlock clause in your shareholders agreement instead.</w:t>
      </w:r>
    </w:p>
    <w:p>
      <w:pPr>
        <w:keepNext/>
        <w:spacing w:before="200" w:after="60"/>
      </w:pPr>
      <w:r>
        <w:rPr>
          <w:rFonts w:ascii="Montserrat" w:hAnsi="Montserrat"/>
          <w:b/>
          <w:color w:val="191C4A"/>
          <w:sz w:val="21"/>
        </w:rPr>
        <w:t>17. DIRECTORS' DUTIES, CONFLICTS AND PROTECTION</w:t>
      </w:r>
    </w:p>
    <w:p>
      <w:pPr>
        <w:spacing w:after="80"/>
        <w:ind w:left="624" w:hanging="624"/>
        <w:jc w:val="both"/>
      </w:pPr>
      <w:r>
        <w:rPr>
          <w:rFonts w:ascii="Open Sans" w:hAnsi="Open Sans"/>
          <w:b/>
          <w:color w:val="191C4A"/>
          <w:sz w:val="21"/>
        </w:rPr>
        <w:t>17.1</w:t>
        <w:tab/>
      </w:r>
      <w:r>
        <w:rPr>
          <w:rFonts w:ascii="Open Sans" w:hAnsi="Open Sans"/>
          <w:b w:val="0"/>
          <w:i w:val="0"/>
          <w:sz w:val="21"/>
        </w:rPr>
        <w:t>Every director must act in good faith and for a proper purpose, in the best interests of the Company, and with the degree of care, skill and diligence that could reasonably be expected of a person carrying out those functions and having that director's general knowledge, skill and experience. This is section 76 of the Act and cannot be altered by this MOI.</w:t>
      </w:r>
    </w:p>
    <w:p>
      <w:pPr>
        <w:spacing w:after="80"/>
        <w:ind w:left="624" w:hanging="624"/>
        <w:jc w:val="both"/>
      </w:pPr>
      <w:r>
        <w:rPr>
          <w:rFonts w:ascii="Open Sans" w:hAnsi="Open Sans"/>
          <w:b/>
          <w:color w:val="191C4A"/>
          <w:sz w:val="21"/>
        </w:rPr>
        <w:t>17.2</w:t>
        <w:tab/>
      </w:r>
      <w:r>
        <w:rPr>
          <w:rFonts w:ascii="Open Sans" w:hAnsi="Open Sans"/>
          <w:b w:val="0"/>
          <w:i w:val="0"/>
          <w:sz w:val="21"/>
        </w:rPr>
        <w:t>A director who has a personal financial interest in a matter to be considered by the Board, or knows that a related person has one, must disclose the interest and its general nature before the matter is considered, must leave the meeting while it is considered, and must not vote on it. This is section 75 of the Act.</w:t>
      </w:r>
    </w:p>
    <w:p>
      <w:pPr>
        <w:spacing w:after="80"/>
        <w:ind w:left="624" w:hanging="624"/>
        <w:jc w:val="both"/>
      </w:pPr>
      <w:r>
        <w:rPr>
          <w:rFonts w:ascii="Open Sans" w:hAnsi="Open Sans"/>
          <w:b/>
          <w:color w:val="191C4A"/>
          <w:sz w:val="21"/>
        </w:rPr>
        <w:t>17.3</w:t>
        <w:tab/>
      </w:r>
      <w:r>
        <w:rPr>
          <w:rFonts w:ascii="Open Sans" w:hAnsi="Open Sans"/>
          <w:b w:val="0"/>
          <w:i w:val="0"/>
          <w:sz w:val="21"/>
        </w:rPr>
        <w:t>The Company may advance expenses to a director to defend legal proceedings, and may indemnify a director, to the fullest extent permitted by section 78 of the Act. The Company may not indemnify a director against liability arising from wilful misconduct or wilful breach of trust, or from an act done knowing that it was not in the best interests of the Company.</w:t>
      </w:r>
    </w:p>
    <w:p>
      <w:pPr>
        <w:spacing w:after="80"/>
        <w:ind w:left="624" w:hanging="624"/>
        <w:jc w:val="both"/>
      </w:pPr>
      <w:r>
        <w:rPr>
          <w:rFonts w:ascii="Open Sans" w:hAnsi="Open Sans"/>
          <w:b/>
          <w:color w:val="191C4A"/>
          <w:sz w:val="21"/>
        </w:rPr>
        <w:t>17.4</w:t>
        <w:tab/>
      </w:r>
      <w:r>
        <w:rPr>
          <w:rFonts w:ascii="Open Sans" w:hAnsi="Open Sans"/>
          <w:b w:val="0"/>
          <w:i w:val="0"/>
          <w:sz w:val="21"/>
        </w:rPr>
        <w:t xml:space="preserve">The Company </w:t>
      </w:r>
      <w:r>
        <w:rPr>
          <w:rFonts w:ascii="Open Sans" w:hAnsi="Open Sans"/>
          <w:b w:val="0"/>
          <w:i w:val="0"/>
          <w:color w:val="21759B"/>
          <w:sz w:val="21"/>
        </w:rPr>
        <w:t>[may]</w:t>
      </w:r>
      <w:r>
        <w:rPr>
          <w:rFonts w:ascii="Open Sans" w:hAnsi="Open Sans"/>
          <w:b w:val="0"/>
          <w:i w:val="0"/>
          <w:sz w:val="21"/>
        </w:rPr>
        <w:t xml:space="preserve"> take out directors' and officers' liability insurance.</w:t>
      </w:r>
    </w:p>
    <w:p>
      <w:pPr>
        <w:spacing w:after="80"/>
        <w:ind w:left="624" w:hanging="624"/>
        <w:jc w:val="both"/>
      </w:pPr>
      <w:r>
        <w:rPr>
          <w:rFonts w:ascii="Open Sans" w:hAnsi="Open Sans"/>
          <w:b/>
          <w:color w:val="191C4A"/>
          <w:sz w:val="21"/>
        </w:rPr>
        <w:t>17.5</w:t>
        <w:tab/>
      </w:r>
      <w:r>
        <w:rPr>
          <w:rFonts w:ascii="Open Sans" w:hAnsi="Open Sans"/>
          <w:b w:val="0"/>
          <w:i w:val="0"/>
          <w:sz w:val="21"/>
        </w:rPr>
        <w:t>Directors' remuneration for their service as directors is determined by special resolution of the shareholders, which is what section 66(9) of the Act requires, and the approval is valid for two years. Remuneration paid to a director under a separate contract of employment is a different thing and is dealt with by the Board.</w:t>
      </w:r>
    </w:p>
    <w:p>
      <w:pPr>
        <w:pStyle w:val="Heading1"/>
      </w:pPr>
      <w:r>
        <w:t>Part 6: Shareholders and meetings</w:t>
      </w:r>
    </w:p>
    <w:p>
      <w:pPr>
        <w:keepNext/>
        <w:spacing w:before="200" w:after="60"/>
      </w:pPr>
      <w:r>
        <w:rPr>
          <w:rFonts w:ascii="Montserrat" w:hAnsi="Montserrat"/>
          <w:b/>
          <w:color w:val="191C4A"/>
          <w:sz w:val="21"/>
        </w:rPr>
        <w:t>18. SHAREHOLDERS MEETINGS</w:t>
      </w:r>
    </w:p>
    <w:p>
      <w:pPr>
        <w:spacing w:after="80"/>
        <w:ind w:left="624" w:hanging="624"/>
        <w:jc w:val="both"/>
      </w:pPr>
      <w:r>
        <w:rPr>
          <w:rFonts w:ascii="Open Sans" w:hAnsi="Open Sans"/>
          <w:b/>
          <w:color w:val="191C4A"/>
          <w:sz w:val="21"/>
        </w:rPr>
        <w:t>18.1</w:t>
        <w:tab/>
      </w:r>
      <w:r>
        <w:rPr>
          <w:rFonts w:ascii="Open Sans" w:hAnsi="Open Sans"/>
          <w:b w:val="0"/>
          <w:i w:val="0"/>
          <w:sz w:val="21"/>
        </w:rPr>
        <w:t xml:space="preserve">The Company </w:t>
      </w:r>
      <w:r>
        <w:rPr>
          <w:rFonts w:ascii="Open Sans" w:hAnsi="Open Sans"/>
          <w:b w:val="0"/>
          <w:i w:val="0"/>
          <w:color w:val="21759B"/>
          <w:sz w:val="21"/>
        </w:rPr>
        <w:t>[is not]</w:t>
      </w:r>
      <w:r>
        <w:rPr>
          <w:rFonts w:ascii="Open Sans" w:hAnsi="Open Sans"/>
          <w:b w:val="0"/>
          <w:i w:val="0"/>
          <w:sz w:val="21"/>
        </w:rPr>
        <w:t xml:space="preserve"> required to hold an annual general meeting. A private company is not obliged to hold one unless this MOI says it must.</w:t>
      </w:r>
    </w:p>
    <w:p>
      <w:pPr>
        <w:spacing w:after="80"/>
        <w:ind w:left="624" w:hanging="624"/>
        <w:jc w:val="both"/>
      </w:pPr>
      <w:r>
        <w:rPr>
          <w:rFonts w:ascii="Open Sans" w:hAnsi="Open Sans"/>
          <w:b/>
          <w:color w:val="191C4A"/>
          <w:sz w:val="21"/>
        </w:rPr>
        <w:t>18.2</w:t>
        <w:tab/>
      </w:r>
      <w:r>
        <w:rPr>
          <w:rFonts w:ascii="Open Sans" w:hAnsi="Open Sans"/>
          <w:b w:val="0"/>
          <w:i w:val="0"/>
          <w:sz w:val="21"/>
        </w:rPr>
        <w:t>The Board may call a shareholders meeting at any time, and must call one on the written demand of shareholders holding at least 10% of the voting rights, as section 61(3) of the Act requires.</w:t>
      </w:r>
    </w:p>
    <w:p>
      <w:pPr>
        <w:spacing w:after="80"/>
        <w:ind w:left="624" w:hanging="624"/>
        <w:jc w:val="both"/>
      </w:pPr>
      <w:r>
        <w:rPr>
          <w:rFonts w:ascii="Open Sans" w:hAnsi="Open Sans"/>
          <w:b/>
          <w:color w:val="191C4A"/>
          <w:sz w:val="21"/>
        </w:rPr>
        <w:t>18.3</w:t>
        <w:tab/>
      </w:r>
      <w:r>
        <w:rPr>
          <w:rFonts w:ascii="Open Sans" w:hAnsi="Open Sans"/>
          <w:b w:val="0"/>
          <w:i w:val="0"/>
          <w:sz w:val="21"/>
        </w:rPr>
        <w:t xml:space="preserve">Notice of a shareholders meeting must be at least </w:t>
      </w:r>
      <w:r>
        <w:rPr>
          <w:rFonts w:ascii="Open Sans" w:hAnsi="Open Sans"/>
          <w:b w:val="0"/>
          <w:i w:val="0"/>
          <w:color w:val="21759B"/>
          <w:sz w:val="21"/>
        </w:rPr>
        <w:t>[10]</w:t>
      </w:r>
      <w:r>
        <w:rPr>
          <w:rFonts w:ascii="Open Sans" w:hAnsi="Open Sans"/>
          <w:b w:val="0"/>
          <w:i w:val="0"/>
          <w:sz w:val="21"/>
        </w:rPr>
        <w:t xml:space="preserve"> business days, which is the period section 62(1) of the Act sets for a private company. The notice must state the date, time and place, and must set out the resolutions to be considered in enough detail for a shareholder to decide whether to attend.</w:t>
      </w:r>
    </w:p>
    <w:p>
      <w:pPr>
        <w:spacing w:after="80"/>
        <w:ind w:left="624" w:hanging="624"/>
        <w:jc w:val="both"/>
      </w:pPr>
      <w:r>
        <w:rPr>
          <w:rFonts w:ascii="Open Sans" w:hAnsi="Open Sans"/>
          <w:b/>
          <w:color w:val="191C4A"/>
          <w:sz w:val="21"/>
        </w:rPr>
        <w:t>18.4</w:t>
        <w:tab/>
      </w:r>
      <w:r>
        <w:rPr>
          <w:rFonts w:ascii="Open Sans" w:hAnsi="Open Sans"/>
          <w:b w:val="0"/>
          <w:i w:val="0"/>
          <w:sz w:val="21"/>
        </w:rPr>
        <w:t>A meeting may be held by electronic communication, or a shareholder may take part electronically, provided the technology lets everyone taking part communicate at the same time without an intermediary.</w:t>
      </w:r>
    </w:p>
    <w:p>
      <w:pPr>
        <w:spacing w:after="80"/>
        <w:ind w:left="624" w:hanging="624"/>
        <w:jc w:val="both"/>
      </w:pPr>
      <w:r>
        <w:rPr>
          <w:rFonts w:ascii="Open Sans" w:hAnsi="Open Sans"/>
          <w:b/>
          <w:color w:val="191C4A"/>
          <w:sz w:val="21"/>
        </w:rPr>
        <w:t>18.5</w:t>
        <w:tab/>
      </w:r>
      <w:r>
        <w:rPr>
          <w:rFonts w:ascii="Open Sans" w:hAnsi="Open Sans"/>
          <w:b w:val="0"/>
          <w:i w:val="0"/>
          <w:sz w:val="21"/>
        </w:rPr>
        <w:t xml:space="preserve">A shareholder may appoint any individual as a proxy to attend, speak and vote. The appointment must be in writing, dated and signed, and must be delivered to the Company at least </w:t>
      </w:r>
      <w:r>
        <w:rPr>
          <w:rFonts w:ascii="Open Sans" w:hAnsi="Open Sans"/>
          <w:b w:val="0"/>
          <w:i w:val="0"/>
          <w:color w:val="21759B"/>
          <w:sz w:val="21"/>
        </w:rPr>
        <w:t>[24 hours]</w:t>
      </w:r>
      <w:r>
        <w:rPr>
          <w:rFonts w:ascii="Open Sans" w:hAnsi="Open Sans"/>
          <w:b w:val="0"/>
          <w:i w:val="0"/>
          <w:sz w:val="21"/>
        </w:rPr>
        <w:t xml:space="preserve"> before the meeting. A proxy appointment is revocable at any time.</w:t>
      </w:r>
    </w:p>
    <w:p>
      <w:pPr>
        <w:keepNext/>
        <w:spacing w:before="200" w:after="60"/>
      </w:pPr>
      <w:r>
        <w:rPr>
          <w:rFonts w:ascii="Montserrat" w:hAnsi="Montserrat"/>
          <w:b/>
          <w:color w:val="191C4A"/>
          <w:sz w:val="21"/>
        </w:rPr>
        <w:t>19. QUORUM, VOTING AND RESOLUTIONS</w:t>
      </w:r>
    </w:p>
    <w:p>
      <w:pPr>
        <w:spacing w:after="80"/>
        <w:ind w:left="624" w:hanging="624"/>
        <w:jc w:val="both"/>
      </w:pPr>
      <w:r>
        <w:rPr>
          <w:rFonts w:ascii="Open Sans" w:hAnsi="Open Sans"/>
          <w:b/>
          <w:color w:val="191C4A"/>
          <w:sz w:val="21"/>
        </w:rPr>
        <w:t>19.1</w:t>
        <w:tab/>
      </w:r>
      <w:r>
        <w:rPr>
          <w:rFonts w:ascii="Open Sans" w:hAnsi="Open Sans"/>
          <w:b w:val="0"/>
          <w:i w:val="0"/>
          <w:sz w:val="21"/>
        </w:rPr>
        <w:t xml:space="preserve">A shareholders meeting may not begin unless shareholders holding at least </w:t>
      </w:r>
      <w:r>
        <w:rPr>
          <w:rFonts w:ascii="Open Sans" w:hAnsi="Open Sans"/>
          <w:b w:val="0"/>
          <w:i w:val="0"/>
          <w:color w:val="21759B"/>
          <w:sz w:val="21"/>
        </w:rPr>
        <w:t>[25%]</w:t>
      </w:r>
      <w:r>
        <w:rPr>
          <w:rFonts w:ascii="Open Sans" w:hAnsi="Open Sans"/>
          <w:b w:val="0"/>
          <w:i w:val="0"/>
          <w:sz w:val="21"/>
        </w:rPr>
        <w:t xml:space="preserve"> of the voting rights that may be exercised on at least one matter are present in person or by proxy.</w:t>
      </w:r>
    </w:p>
    <w:p>
      <w:pPr>
        <w:spacing w:after="80"/>
        <w:ind w:left="624" w:hanging="624"/>
        <w:jc w:val="both"/>
      </w:pPr>
      <w:r>
        <w:rPr>
          <w:rFonts w:ascii="Open Sans" w:hAnsi="Open Sans"/>
          <w:b/>
          <w:color w:val="191C4A"/>
          <w:sz w:val="21"/>
        </w:rPr>
        <w:t>19.2</w:t>
        <w:tab/>
      </w:r>
      <w:r>
        <w:rPr>
          <w:rFonts w:ascii="Open Sans" w:hAnsi="Open Sans"/>
          <w:b w:val="0"/>
          <w:i w:val="0"/>
          <w:sz w:val="21"/>
        </w:rPr>
        <w:t xml:space="preserve">If a quorum is not present within 30 minutes of the appointed time, the meeting is postponed by </w:t>
      </w:r>
      <w:r>
        <w:rPr>
          <w:rFonts w:ascii="Open Sans" w:hAnsi="Open Sans"/>
          <w:b w:val="0"/>
          <w:i w:val="0"/>
          <w:color w:val="21759B"/>
          <w:sz w:val="21"/>
        </w:rPr>
        <w:t>[7]</w:t>
      </w:r>
      <w:r>
        <w:rPr>
          <w:rFonts w:ascii="Open Sans" w:hAnsi="Open Sans"/>
          <w:b w:val="0"/>
          <w:i w:val="0"/>
          <w:sz w:val="21"/>
        </w:rPr>
        <w:t xml:space="preserve"> business days to the same time and place, without further notice, and the shareholders present at the postponed meeting form a quorum.</w:t>
      </w:r>
    </w:p>
    <w:p>
      <w:pPr>
        <w:spacing w:after="80"/>
        <w:ind w:left="624" w:hanging="624"/>
        <w:jc w:val="both"/>
      </w:pPr>
      <w:r>
        <w:rPr>
          <w:rFonts w:ascii="Open Sans" w:hAnsi="Open Sans"/>
          <w:b/>
          <w:color w:val="191C4A"/>
          <w:sz w:val="21"/>
        </w:rPr>
        <w:t>19.3</w:t>
        <w:tab/>
      </w:r>
      <w:r>
        <w:rPr>
          <w:rFonts w:ascii="Open Sans" w:hAnsi="Open Sans"/>
          <w:b w:val="0"/>
          <w:i w:val="0"/>
          <w:sz w:val="21"/>
        </w:rPr>
        <w:t>Each ordinary share carries one vote on every matter. Voting is by show of hands unless a poll is demanded by any shareholder or proxy present, in which case each shareholder has one vote per share held.</w:t>
      </w:r>
    </w:p>
    <w:p>
      <w:pPr>
        <w:spacing w:after="80"/>
        <w:ind w:left="624" w:hanging="624"/>
        <w:jc w:val="both"/>
      </w:pPr>
      <w:r>
        <w:rPr>
          <w:rFonts w:ascii="Open Sans" w:hAnsi="Open Sans"/>
          <w:b/>
          <w:color w:val="191C4A"/>
          <w:sz w:val="21"/>
        </w:rPr>
        <w:t>19.4</w:t>
        <w:tab/>
      </w:r>
      <w:r>
        <w:rPr>
          <w:rFonts w:ascii="Open Sans" w:hAnsi="Open Sans"/>
          <w:b w:val="0"/>
          <w:i w:val="0"/>
          <w:sz w:val="21"/>
        </w:rPr>
        <w:t>An ordinary resolution needs more than 50% of the voting rights exercised on it. A special resolution needs at least 75%. This MOI does not alter those percentages, but you may raise or lower them here if you have a reason, subject to the limits in section 65(8) and (9) of the Act, which require at least a ten percentage point margin between the two.</w:t>
      </w:r>
    </w:p>
    <w:p>
      <w:pPr>
        <w:spacing w:after="80"/>
        <w:ind w:left="624" w:hanging="624"/>
        <w:jc w:val="both"/>
      </w:pPr>
      <w:r>
        <w:rPr>
          <w:rFonts w:ascii="Open Sans" w:hAnsi="Open Sans"/>
          <w:b/>
          <w:color w:val="191C4A"/>
          <w:sz w:val="21"/>
        </w:rPr>
        <w:t>19.5</w:t>
        <w:tab/>
      </w:r>
      <w:r>
        <w:rPr>
          <w:rFonts w:ascii="Open Sans" w:hAnsi="Open Sans"/>
          <w:b w:val="0"/>
          <w:i w:val="0"/>
          <w:sz w:val="21"/>
        </w:rPr>
        <w:t xml:space="preserve">A special resolution is required for the matters listed in section 65(11) of the Act, which include amending this MOI, approving a fundamental transaction under sections 112 to 116, authorising financial assistance under sections 44 and 45, approving the voluntary winding up of the Company, and approving directors' remuneration. This MOI also requires a special resolution for </w:t>
      </w:r>
      <w:r>
        <w:rPr>
          <w:rFonts w:ascii="Open Sans" w:hAnsi="Open Sans"/>
          <w:b w:val="0"/>
          <w:i w:val="0"/>
          <w:color w:val="21759B"/>
          <w:sz w:val="21"/>
        </w:rPr>
        <w:t>[list any further matters, for example changing the Company's bankers or borrowing more than R 500 000]</w:t>
      </w:r>
      <w:r>
        <w:rPr>
          <w:rFonts w:ascii="Open Sans" w:hAnsi="Open Sans"/>
          <w:b w:val="0"/>
          <w:i w:val="0"/>
          <w:sz w:val="21"/>
        </w:rPr>
        <w:t>.</w:t>
      </w:r>
    </w:p>
    <w:p>
      <w:pPr>
        <w:spacing w:after="80"/>
        <w:ind w:left="624" w:hanging="624"/>
        <w:jc w:val="both"/>
      </w:pPr>
      <w:r>
        <w:rPr>
          <w:rFonts w:ascii="Open Sans" w:hAnsi="Open Sans"/>
          <w:b/>
          <w:color w:val="191C4A"/>
          <w:sz w:val="21"/>
        </w:rPr>
        <w:t>19.6</w:t>
        <w:tab/>
      </w:r>
      <w:r>
        <w:rPr>
          <w:rFonts w:ascii="Open Sans" w:hAnsi="Open Sans"/>
          <w:b w:val="0"/>
          <w:i w:val="0"/>
          <w:sz w:val="21"/>
        </w:rPr>
        <w:t>A resolution that could be voted on at a meeting may instead be passed in writing, in terms of section 60 of the Act, if it is submitted to every shareholder entitled to vote and supported in writing by the required percentage within 20 business days.</w:t>
      </w:r>
    </w:p>
    <w:p>
      <w:pPr>
        <w:keepNext/>
        <w:spacing w:before="200" w:after="60"/>
      </w:pPr>
      <w:r>
        <w:rPr>
          <w:rFonts w:ascii="Montserrat" w:hAnsi="Montserrat"/>
          <w:b/>
          <w:color w:val="191C4A"/>
          <w:sz w:val="21"/>
        </w:rPr>
        <w:t>20. RECORDS, NOTICES AND INFORMATION RIGHTS</w:t>
      </w:r>
    </w:p>
    <w:p>
      <w:pPr>
        <w:spacing w:after="80"/>
        <w:ind w:left="624" w:hanging="624"/>
        <w:jc w:val="both"/>
      </w:pPr>
      <w:r>
        <w:rPr>
          <w:rFonts w:ascii="Open Sans" w:hAnsi="Open Sans"/>
          <w:b/>
          <w:color w:val="191C4A"/>
          <w:sz w:val="21"/>
        </w:rPr>
        <w:t>20.1</w:t>
        <w:tab/>
      </w:r>
      <w:r>
        <w:rPr>
          <w:rFonts w:ascii="Open Sans" w:hAnsi="Open Sans"/>
          <w:b w:val="0"/>
          <w:i w:val="0"/>
          <w:sz w:val="21"/>
        </w:rPr>
        <w:t>The Company must keep the records listed in section 24 of the Act at its registered office, including this MOI, the securities register, the register of directors, minutes and resolutions, and the annual financial statements.</w:t>
      </w:r>
    </w:p>
    <w:p>
      <w:pPr>
        <w:spacing w:after="80"/>
        <w:ind w:left="624" w:hanging="624"/>
        <w:jc w:val="both"/>
      </w:pPr>
      <w:r>
        <w:rPr>
          <w:rFonts w:ascii="Open Sans" w:hAnsi="Open Sans"/>
          <w:b/>
          <w:color w:val="191C4A"/>
          <w:sz w:val="21"/>
        </w:rPr>
        <w:t>20.2</w:t>
        <w:tab/>
      </w:r>
      <w:r>
        <w:rPr>
          <w:rFonts w:ascii="Open Sans" w:hAnsi="Open Sans"/>
          <w:b w:val="0"/>
          <w:i w:val="0"/>
          <w:sz w:val="21"/>
        </w:rPr>
        <w:t>Every shareholder has the right to inspect and copy the securities register, the register of directors and this MOI, and the other records to which sections 26 and 31 of the Act give a shareholder access, without charge.</w:t>
      </w:r>
    </w:p>
    <w:p>
      <w:pPr>
        <w:spacing w:after="80"/>
        <w:ind w:left="624" w:hanging="624"/>
        <w:jc w:val="both"/>
      </w:pPr>
      <w:r>
        <w:rPr>
          <w:rFonts w:ascii="Open Sans" w:hAnsi="Open Sans"/>
          <w:b/>
          <w:color w:val="191C4A"/>
          <w:sz w:val="21"/>
        </w:rPr>
        <w:t>20.3</w:t>
        <w:tab/>
      </w:r>
      <w:r>
        <w:rPr>
          <w:rFonts w:ascii="Open Sans" w:hAnsi="Open Sans"/>
          <w:b w:val="0"/>
          <w:i w:val="0"/>
          <w:sz w:val="21"/>
        </w:rPr>
        <w:t>A notice under this MOI may be delivered by hand, sent by email to the address the recipient last gave the Company, or sent by registered post. A notice sent by email is treated as delivered on the business day after it is sent, unless a failure message is received. A notice sent by registered post is treated as delivered on the seventh business day after posting.</w:t>
      </w:r>
    </w:p>
    <w:p>
      <w:pPr>
        <w:spacing w:after="80"/>
        <w:ind w:left="624" w:hanging="624"/>
        <w:jc w:val="both"/>
      </w:pPr>
      <w:r>
        <w:rPr>
          <w:rFonts w:ascii="Open Sans" w:hAnsi="Open Sans"/>
          <w:b/>
          <w:color w:val="191C4A"/>
          <w:sz w:val="21"/>
        </w:rPr>
        <w:t>20.4</w:t>
        <w:tab/>
      </w:r>
      <w:r>
        <w:rPr>
          <w:rFonts w:ascii="Open Sans" w:hAnsi="Open Sans"/>
          <w:b w:val="0"/>
          <w:i w:val="0"/>
          <w:sz w:val="21"/>
        </w:rPr>
        <w:t>Each shareholder and each director must keep the Company informed of a current physical address and email address.</w:t>
      </w:r>
    </w:p>
    <w:p>
      <w:pPr>
        <w:pStyle w:val="Heading1"/>
      </w:pPr>
      <w:r>
        <w:t>Part 7: Financial matters and audit</w:t>
      </w:r>
    </w:p>
    <w:p>
      <w:pPr>
        <w:keepNext/>
        <w:spacing w:before="200" w:after="60"/>
      </w:pPr>
      <w:r>
        <w:rPr>
          <w:rFonts w:ascii="Montserrat" w:hAnsi="Montserrat"/>
          <w:b/>
          <w:color w:val="191C4A"/>
          <w:sz w:val="21"/>
        </w:rPr>
        <w:t>21. FINANCIAL YEAR, ACCOUNTING RECORDS AND FINANCIAL STATEMENTS</w:t>
      </w:r>
    </w:p>
    <w:p>
      <w:pPr>
        <w:spacing w:after="80"/>
        <w:ind w:left="624" w:hanging="624"/>
        <w:jc w:val="both"/>
      </w:pPr>
      <w:r>
        <w:rPr>
          <w:rFonts w:ascii="Open Sans" w:hAnsi="Open Sans"/>
          <w:b/>
          <w:color w:val="191C4A"/>
          <w:sz w:val="21"/>
        </w:rPr>
        <w:t>21.1</w:t>
        <w:tab/>
      </w:r>
      <w:r>
        <w:rPr>
          <w:rFonts w:ascii="Open Sans" w:hAnsi="Open Sans"/>
          <w:b w:val="0"/>
          <w:i w:val="0"/>
          <w:sz w:val="21"/>
        </w:rPr>
        <w:t xml:space="preserve">The financial year of the Company ends on </w:t>
      </w:r>
      <w:r>
        <w:rPr>
          <w:rFonts w:ascii="Open Sans" w:hAnsi="Open Sans"/>
          <w:b w:val="0"/>
          <w:i w:val="0"/>
          <w:color w:val="21759B"/>
          <w:sz w:val="21"/>
        </w:rPr>
        <w:t>[28 February]</w:t>
      </w:r>
      <w:r>
        <w:rPr>
          <w:rFonts w:ascii="Open Sans" w:hAnsi="Open Sans"/>
          <w:b w:val="0"/>
          <w:i w:val="0"/>
          <w:sz w:val="21"/>
        </w:rPr>
        <w:t xml:space="preserve"> each year. The first financial year runs from the date of incorporation to </w:t>
      </w:r>
      <w:r>
        <w:rPr>
          <w:rFonts w:ascii="Open Sans" w:hAnsi="Open Sans"/>
          <w:b w:val="0"/>
          <w:i w:val="0"/>
          <w:color w:val="21759B"/>
          <w:sz w:val="21"/>
        </w:rPr>
        <w:t>[28 February 20XX]</w:t>
      </w:r>
      <w:r>
        <w:rPr>
          <w:rFonts w:ascii="Open Sans" w:hAnsi="Open Sans"/>
          <w:b w:val="0"/>
          <w:i w:val="0"/>
          <w:sz w:val="21"/>
        </w:rPr>
        <w:t>.</w:t>
      </w:r>
    </w:p>
    <w:p>
      <w:pPr>
        <w:spacing w:after="80"/>
        <w:ind w:left="624" w:hanging="624"/>
        <w:jc w:val="both"/>
      </w:pPr>
      <w:r>
        <w:rPr>
          <w:rFonts w:ascii="Open Sans" w:hAnsi="Open Sans"/>
          <w:b/>
          <w:color w:val="191C4A"/>
          <w:sz w:val="21"/>
        </w:rPr>
        <w:t>21.2</w:t>
        <w:tab/>
      </w:r>
      <w:r>
        <w:rPr>
          <w:rFonts w:ascii="Open Sans" w:hAnsi="Open Sans"/>
          <w:b w:val="0"/>
          <w:i w:val="0"/>
          <w:sz w:val="21"/>
        </w:rPr>
        <w:t>The Company must keep accurate and complete accounting records in one of the official languages of the Republic, as section 28 of the Act requires, and must prepare annual financial statements within six months after the end of each financial year, as section 30 requires.</w:t>
      </w:r>
    </w:p>
    <w:p>
      <w:pPr>
        <w:spacing w:after="80"/>
        <w:ind w:left="624" w:hanging="624"/>
        <w:jc w:val="both"/>
      </w:pPr>
      <w:r>
        <w:rPr>
          <w:rFonts w:ascii="Open Sans" w:hAnsi="Open Sans"/>
          <w:b/>
          <w:color w:val="191C4A"/>
          <w:sz w:val="21"/>
        </w:rPr>
        <w:t>21.3</w:t>
        <w:tab/>
      </w:r>
      <w:r>
        <w:rPr>
          <w:rFonts w:ascii="Open Sans" w:hAnsi="Open Sans"/>
          <w:b w:val="0"/>
          <w:i w:val="0"/>
          <w:sz w:val="21"/>
        </w:rPr>
        <w:t>The financial statements must be prepared in accordance with the International Financial Reporting Standard for Small and Medium-sized Entities, or any other standard the Regulations permit for a company of this size.</w:t>
      </w:r>
    </w:p>
    <w:p>
      <w:pPr>
        <w:spacing w:after="80"/>
        <w:ind w:left="624" w:hanging="624"/>
        <w:jc w:val="both"/>
      </w:pPr>
      <w:r>
        <w:rPr>
          <w:rFonts w:ascii="Open Sans" w:hAnsi="Open Sans"/>
          <w:b/>
          <w:color w:val="191C4A"/>
          <w:sz w:val="21"/>
        </w:rPr>
        <w:t>21.4</w:t>
        <w:tab/>
      </w:r>
      <w:r>
        <w:rPr>
          <w:rFonts w:ascii="Open Sans" w:hAnsi="Open Sans"/>
          <w:b w:val="0"/>
          <w:i w:val="0"/>
          <w:sz w:val="21"/>
        </w:rPr>
        <w:t xml:space="preserve">The financial statements must be presented to the shareholders within </w:t>
      </w:r>
      <w:r>
        <w:rPr>
          <w:rFonts w:ascii="Open Sans" w:hAnsi="Open Sans"/>
          <w:b w:val="0"/>
          <w:i w:val="0"/>
          <w:color w:val="21759B"/>
          <w:sz w:val="21"/>
        </w:rPr>
        <w:t>[15]</w:t>
      </w:r>
      <w:r>
        <w:rPr>
          <w:rFonts w:ascii="Open Sans" w:hAnsi="Open Sans"/>
          <w:b w:val="0"/>
          <w:i w:val="0"/>
          <w:sz w:val="21"/>
        </w:rPr>
        <w:t xml:space="preserve"> business days after they are approved by the Board.</w:t>
      </w:r>
    </w:p>
    <w:p>
      <w:pPr>
        <w:keepNext/>
        <w:spacing w:before="200" w:after="60"/>
      </w:pPr>
      <w:r>
        <w:rPr>
          <w:rFonts w:ascii="Montserrat" w:hAnsi="Montserrat"/>
          <w:b/>
          <w:color w:val="191C4A"/>
          <w:sz w:val="21"/>
        </w:rPr>
        <w:t>22. AUDIT OR INDEPENDENT REVIEW</w:t>
      </w:r>
    </w:p>
    <w:p>
      <w:pPr>
        <w:spacing w:after="80" w:before="0"/>
        <w:jc w:val="both"/>
      </w:pPr>
      <w:r>
        <w:rPr>
          <w:rFonts w:ascii="Open Sans" w:hAnsi="Open Sans"/>
          <w:b w:val="0"/>
          <w:i w:val="0"/>
          <w:sz w:val="21"/>
        </w:rPr>
        <w:t>This is one of the main reasons a small company chooses a customised MOI. Read the note below before you choose.</w:t>
      </w:r>
    </w:p>
    <w:p>
      <w:pPr>
        <w:spacing w:after="80"/>
        <w:ind w:left="624" w:hanging="624"/>
        <w:jc w:val="both"/>
      </w:pPr>
      <w:r>
        <w:rPr>
          <w:rFonts w:ascii="Open Sans" w:hAnsi="Open Sans"/>
          <w:b/>
          <w:color w:val="191C4A"/>
          <w:sz w:val="21"/>
        </w:rPr>
        <w:t>22.1</w:t>
        <w:tab/>
      </w:r>
      <w:r>
        <w:rPr>
          <w:rFonts w:ascii="Open Sans" w:hAnsi="Open Sans"/>
          <w:b w:val="0"/>
          <w:i w:val="0"/>
          <w:color w:val="21759B"/>
          <w:sz w:val="21"/>
        </w:rPr>
        <w:t>[Option A, the default.]</w:t>
      </w:r>
      <w:r>
        <w:rPr>
          <w:rFonts w:ascii="Open Sans" w:hAnsi="Open Sans"/>
          <w:b w:val="0"/>
          <w:i w:val="0"/>
          <w:sz w:val="21"/>
        </w:rPr>
        <w:t xml:space="preserve"> The Company's annual financial statements must be audited or independently reviewed only to the extent that the Act and the Companies Regulations require, based on the Company's public interest score for the year.</w:t>
      </w:r>
    </w:p>
    <w:p>
      <w:pPr>
        <w:spacing w:after="80"/>
        <w:ind w:left="624" w:hanging="624"/>
        <w:jc w:val="both"/>
      </w:pPr>
      <w:r>
        <w:rPr>
          <w:rFonts w:ascii="Open Sans" w:hAnsi="Open Sans"/>
          <w:b/>
          <w:color w:val="191C4A"/>
          <w:sz w:val="21"/>
        </w:rPr>
        <w:t>22.2</w:t>
        <w:tab/>
      </w:r>
      <w:r>
        <w:rPr>
          <w:rFonts w:ascii="Open Sans" w:hAnsi="Open Sans"/>
          <w:b w:val="0"/>
          <w:i w:val="0"/>
          <w:color w:val="21759B"/>
          <w:sz w:val="21"/>
        </w:rPr>
        <w:t>[Option B.]</w:t>
      </w:r>
      <w:r>
        <w:rPr>
          <w:rFonts w:ascii="Open Sans" w:hAnsi="Open Sans"/>
          <w:b w:val="0"/>
          <w:i w:val="0"/>
          <w:sz w:val="21"/>
        </w:rPr>
        <w:t xml:space="preserve"> The Company's annual financial statements must be audited every year by a registered auditor, whether or not the Act would otherwise require it. Section 34(2) of the Act allows a private company to elect an audit in its MOI, and once it is in the MOI it is compulsory.</w:t>
      </w:r>
    </w:p>
    <w:p>
      <w:pPr>
        <w:spacing w:after="80"/>
        <w:ind w:left="624" w:hanging="624"/>
        <w:jc w:val="both"/>
      </w:pPr>
      <w:r>
        <w:rPr>
          <w:rFonts w:ascii="Open Sans" w:hAnsi="Open Sans"/>
          <w:b/>
          <w:color w:val="191C4A"/>
          <w:sz w:val="21"/>
        </w:rPr>
        <w:t>22.3</w:t>
        <w:tab/>
      </w:r>
      <w:r>
        <w:rPr>
          <w:rFonts w:ascii="Open Sans" w:hAnsi="Open Sans"/>
          <w:b w:val="0"/>
          <w:i w:val="0"/>
          <w:color w:val="21759B"/>
          <w:sz w:val="21"/>
        </w:rPr>
        <w:t>[Option C.]</w:t>
      </w:r>
      <w:r>
        <w:rPr>
          <w:rFonts w:ascii="Open Sans" w:hAnsi="Open Sans"/>
          <w:b w:val="0"/>
          <w:i w:val="0"/>
          <w:sz w:val="21"/>
        </w:rPr>
        <w:t xml:space="preserve"> The Company's annual financial statements must be independently reviewed every year by a person who is independent of the person who compiled them, whether or not the Act would otherwise require it.</w:t>
      </w:r>
    </w:p>
    <w:p>
      <w:pPr>
        <w:spacing w:after="80"/>
        <w:ind w:left="624" w:hanging="624"/>
        <w:jc w:val="both"/>
      </w:pPr>
      <w:r>
        <w:rPr>
          <w:rFonts w:ascii="Open Sans" w:hAnsi="Open Sans"/>
          <w:b/>
          <w:color w:val="191C4A"/>
          <w:sz w:val="21"/>
        </w:rPr>
        <w:t>22.4</w:t>
        <w:tab/>
      </w:r>
      <w:r>
        <w:rPr>
          <w:rFonts w:ascii="Open Sans" w:hAnsi="Open Sans"/>
          <w:b w:val="0"/>
          <w:i w:val="0"/>
          <w:sz w:val="21"/>
        </w:rPr>
        <w:t>Where an audit is required or elected, the auditor is appointed by the shareholders by ordinary resolution, and the Board fills any casual vacancy.</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How the Act works here, in plain terms. Every company works out a public interest score at each year end: one point for each employee on average, one point for every R 1 000 000 of third party liabilities at year end, one point for every R 1 000 000 of turnover, and one point for each individual with a beneficial interest in the shares. A score of 350 or more means an audit. Between 100 and 350 an audit is required if the statements were compiled in house, otherwise an independent review. Below 100 an independent review, which may be done by a person qualified to be an accounting officer of a close corporation. A company where every single shareholder is also a director is exempt from both, under section 30(2A), although it must still prepare financial statements. Choose Option B only if a bank, a funder, a franchisor or a tender actually demands an audit, because an audit is expensive and you cannot escape it once it is in your MOI without a special resolution and a filing.</w:t>
      </w:r>
    </w:p>
    <w:p>
      <w:pPr>
        <w:keepNext/>
        <w:spacing w:before="200" w:after="60"/>
      </w:pPr>
      <w:r>
        <w:rPr>
          <w:rFonts w:ascii="Montserrat" w:hAnsi="Montserrat"/>
          <w:b/>
          <w:color w:val="191C4A"/>
          <w:sz w:val="21"/>
        </w:rPr>
        <w:t>23. SOCIAL AND ETHICS COMMITTEE</w:t>
      </w:r>
    </w:p>
    <w:p>
      <w:pPr>
        <w:spacing w:after="80"/>
        <w:ind w:left="624" w:hanging="624"/>
        <w:jc w:val="both"/>
      </w:pPr>
      <w:r>
        <w:rPr>
          <w:rFonts w:ascii="Open Sans" w:hAnsi="Open Sans"/>
          <w:b/>
          <w:color w:val="191C4A"/>
          <w:sz w:val="21"/>
        </w:rPr>
        <w:t>23.1</w:t>
        <w:tab/>
      </w:r>
      <w:r>
        <w:rPr>
          <w:rFonts w:ascii="Open Sans" w:hAnsi="Open Sans"/>
          <w:b w:val="0"/>
          <w:i w:val="0"/>
          <w:color w:val="21759B"/>
          <w:sz w:val="21"/>
        </w:rPr>
        <w:t>[Option A, the usual position for a small company.]</w:t>
      </w:r>
      <w:r>
        <w:rPr>
          <w:rFonts w:ascii="Open Sans" w:hAnsi="Open Sans"/>
          <w:b w:val="0"/>
          <w:i w:val="0"/>
          <w:sz w:val="21"/>
        </w:rPr>
        <w:t xml:space="preserve"> The Company is not required to appoint a social and ethics committee and does not do so. Section 72(4) of the Act, read with the Companies Regulations, requires a social and ethics committee only for public companies, state owned companies and any other company whose public interest score exceeded the level set in the Regulations in any two of the previous five financial years. A small private company sits far below that level.</w:t>
      </w:r>
    </w:p>
    <w:p>
      <w:pPr>
        <w:spacing w:after="80"/>
        <w:ind w:left="624" w:hanging="624"/>
        <w:jc w:val="both"/>
      </w:pPr>
      <w:r>
        <w:rPr>
          <w:rFonts w:ascii="Open Sans" w:hAnsi="Open Sans"/>
          <w:b/>
          <w:color w:val="191C4A"/>
          <w:sz w:val="21"/>
        </w:rPr>
        <w:t>23.2</w:t>
        <w:tab/>
      </w:r>
      <w:r>
        <w:rPr>
          <w:rFonts w:ascii="Open Sans" w:hAnsi="Open Sans"/>
          <w:b w:val="0"/>
          <w:i w:val="0"/>
          <w:color w:val="21759B"/>
          <w:sz w:val="21"/>
        </w:rPr>
        <w:t>[Option B.]</w:t>
      </w:r>
      <w:r>
        <w:rPr>
          <w:rFonts w:ascii="Open Sans" w:hAnsi="Open Sans"/>
          <w:b w:val="0"/>
          <w:i w:val="0"/>
          <w:sz w:val="21"/>
        </w:rPr>
        <w:t xml:space="preserve"> The Company appoints a social and ethics committee even though it is not required to. The committee has at least three members and performs the functions set out in the Companies Regulations, and reports to the shareholders each year.</w:t>
      </w:r>
    </w:p>
    <w:p>
      <w:pPr>
        <w:spacing w:after="80"/>
        <w:ind w:left="624" w:hanging="624"/>
        <w:jc w:val="both"/>
      </w:pPr>
      <w:r>
        <w:rPr>
          <w:rFonts w:ascii="Open Sans" w:hAnsi="Open Sans"/>
          <w:b/>
          <w:color w:val="191C4A"/>
          <w:sz w:val="21"/>
        </w:rPr>
        <w:t>23.3</w:t>
        <w:tab/>
      </w:r>
      <w:r>
        <w:rPr>
          <w:rFonts w:ascii="Open Sans" w:hAnsi="Open Sans"/>
          <w:b w:val="0"/>
          <w:i w:val="0"/>
          <w:sz w:val="21"/>
        </w:rPr>
        <w:t>If the Company later grows past the threshold in the Regulations, it must appoint the committee within the period the Regulations allow, or apply to the Companies Tribunal for an exemption. The Minister may also exempt a company from the requirement.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We do not state the public interest score figure that triggers the social and ethics committee, because the number sits in the Companies Regulations and it has been the subject of amendment. Check regulation 43 on cipc.co.za before you rely on it. If your company has fewer than ten employees and turnover under a few million rand, you are not close to it.</w:t>
      </w:r>
    </w:p>
    <w:p>
      <w:pPr>
        <w:keepNext/>
        <w:spacing w:before="200" w:after="60"/>
      </w:pPr>
      <w:r>
        <w:rPr>
          <w:rFonts w:ascii="Montserrat" w:hAnsi="Montserrat"/>
          <w:b/>
          <w:color w:val="191C4A"/>
          <w:sz w:val="21"/>
        </w:rPr>
        <w:t>24. DISTRIBUTIONS, DIVIDENDS AND FINANCIAL ASSISTANCE</w:t>
      </w:r>
    </w:p>
    <w:p>
      <w:pPr>
        <w:spacing w:after="80"/>
        <w:ind w:left="624" w:hanging="624"/>
        <w:jc w:val="both"/>
      </w:pPr>
      <w:r>
        <w:rPr>
          <w:rFonts w:ascii="Open Sans" w:hAnsi="Open Sans"/>
          <w:b/>
          <w:color w:val="191C4A"/>
          <w:sz w:val="21"/>
        </w:rPr>
        <w:t>24.1</w:t>
        <w:tab/>
      </w:r>
      <w:r>
        <w:rPr>
          <w:rFonts w:ascii="Open Sans" w:hAnsi="Open Sans"/>
          <w:b w:val="0"/>
          <w:i w:val="0"/>
          <w:sz w:val="21"/>
        </w:rPr>
        <w:t>The Board may authorise a distribution, including a dividend, only if it reasonably concludes that the Company will satisfy the solvency and liquidity test immediately after the distribution, as section 46 of the Act requires. A distribution must be paid within 120 business days of being authorised.</w:t>
      </w:r>
    </w:p>
    <w:p>
      <w:pPr>
        <w:spacing w:after="80"/>
        <w:ind w:left="624" w:hanging="624"/>
        <w:jc w:val="both"/>
      </w:pPr>
      <w:r>
        <w:rPr>
          <w:rFonts w:ascii="Open Sans" w:hAnsi="Open Sans"/>
          <w:b/>
          <w:color w:val="191C4A"/>
          <w:sz w:val="21"/>
        </w:rPr>
        <w:t>24.2</w:t>
        <w:tab/>
      </w:r>
      <w:r>
        <w:rPr>
          <w:rFonts w:ascii="Open Sans" w:hAnsi="Open Sans"/>
          <w:b w:val="0"/>
          <w:i w:val="0"/>
          <w:sz w:val="21"/>
        </w:rPr>
        <w:t>A distribution is made in proportion to shareholdings, unless the rights of a class say otherwise.</w:t>
      </w:r>
    </w:p>
    <w:p>
      <w:pPr>
        <w:spacing w:after="80"/>
        <w:ind w:left="624" w:hanging="624"/>
        <w:jc w:val="both"/>
      </w:pPr>
      <w:r>
        <w:rPr>
          <w:rFonts w:ascii="Open Sans" w:hAnsi="Open Sans"/>
          <w:b/>
          <w:color w:val="191C4A"/>
          <w:sz w:val="21"/>
        </w:rPr>
        <w:t>24.3</w:t>
        <w:tab/>
      </w:r>
      <w:r>
        <w:rPr>
          <w:rFonts w:ascii="Open Sans" w:hAnsi="Open Sans"/>
          <w:b w:val="0"/>
          <w:i w:val="0"/>
          <w:sz w:val="21"/>
        </w:rPr>
        <w:t>The Company may buy back its own shares only in accordance with section 48 of the Act. Since 27 December 2024 every buy back needs a special resolution, except a pro rata offer made to all shareholders and a transaction on a recognised stock exchange.</w:t>
      </w:r>
    </w:p>
    <w:p>
      <w:pPr>
        <w:spacing w:after="80"/>
        <w:ind w:left="624" w:hanging="624"/>
        <w:jc w:val="both"/>
      </w:pPr>
      <w:r>
        <w:rPr>
          <w:rFonts w:ascii="Open Sans" w:hAnsi="Open Sans"/>
          <w:b/>
          <w:color w:val="191C4A"/>
          <w:sz w:val="21"/>
        </w:rPr>
        <w:t>24.4</w:t>
        <w:tab/>
      </w:r>
      <w:r>
        <w:rPr>
          <w:rFonts w:ascii="Open Sans" w:hAnsi="Open Sans"/>
          <w:b w:val="0"/>
          <w:i w:val="0"/>
          <w:sz w:val="21"/>
        </w:rPr>
        <w:t>The Company may give financial assistance for the purchase of its own securities only in accordance with section 44 of the Act, and may give financial assistance to a director or a related company only in accordance with section 45. Both require a special resolution and a solvency and liquidity determination by the Board. Since 27 December 2024 section 45 no longer applies to financial assistance given by a company to its own subsidiary.</w:t>
      </w:r>
    </w:p>
    <w:p>
      <w:pPr>
        <w:spacing w:after="80"/>
        <w:ind w:left="624" w:hanging="624"/>
        <w:jc w:val="both"/>
      </w:pPr>
      <w:r>
        <w:rPr>
          <w:rFonts w:ascii="Open Sans" w:hAnsi="Open Sans"/>
          <w:b/>
          <w:color w:val="191C4A"/>
          <w:sz w:val="21"/>
        </w:rPr>
        <w:t>24.5</w:t>
        <w:tab/>
      </w:r>
      <w:r>
        <w:rPr>
          <w:rFonts w:ascii="Open Sans" w:hAnsi="Open Sans"/>
          <w:b w:val="0"/>
          <w:i w:val="0"/>
          <w:sz w:val="21"/>
        </w:rPr>
        <w:t xml:space="preserve">The Company must keep at least one bank account in its own name. No company money may be mixed with anyone's personal money. Payments above R </w:t>
      </w:r>
      <w:r>
        <w:rPr>
          <w:rFonts w:ascii="Open Sans" w:hAnsi="Open Sans"/>
          <w:b w:val="0"/>
          <w:i w:val="0"/>
          <w:color w:val="21759B"/>
          <w:sz w:val="21"/>
        </w:rPr>
        <w:t>[50 000.00]</w:t>
      </w:r>
      <w:r>
        <w:rPr>
          <w:rFonts w:ascii="Open Sans" w:hAnsi="Open Sans"/>
          <w:b w:val="0"/>
          <w:i w:val="0"/>
          <w:sz w:val="21"/>
        </w:rPr>
        <w:t xml:space="preserve"> require </w:t>
      </w:r>
      <w:r>
        <w:rPr>
          <w:rFonts w:ascii="Open Sans" w:hAnsi="Open Sans"/>
          <w:b w:val="0"/>
          <w:i w:val="0"/>
          <w:color w:val="21759B"/>
          <w:sz w:val="21"/>
        </w:rPr>
        <w:t>[two]</w:t>
      </w:r>
      <w:r>
        <w:rPr>
          <w:rFonts w:ascii="Open Sans" w:hAnsi="Open Sans"/>
          <w:b w:val="0"/>
          <w:i w:val="0"/>
          <w:sz w:val="21"/>
        </w:rPr>
        <w:t xml:space="preserve"> authorised signatories.</w:t>
      </w:r>
    </w:p>
    <w:p>
      <w:pPr>
        <w:pStyle w:val="Heading1"/>
      </w:pPr>
      <w:r>
        <w:t>Part 8: Filings that keep the company alive</w:t>
      </w:r>
    </w:p>
    <w:p>
      <w:pPr>
        <w:keepNext/>
        <w:spacing w:before="200" w:after="60"/>
      </w:pPr>
      <w:r>
        <w:rPr>
          <w:rFonts w:ascii="Montserrat" w:hAnsi="Montserrat"/>
          <w:b/>
          <w:color w:val="191C4A"/>
          <w:sz w:val="21"/>
        </w:rPr>
        <w:t>25. BENEFICIAL OWNERSHIP</w:t>
      </w:r>
    </w:p>
    <w:p>
      <w:pPr>
        <w:spacing w:after="80" w:before="0"/>
        <w:jc w:val="both"/>
      </w:pPr>
      <w:r>
        <w:rPr>
          <w:rFonts w:ascii="Open Sans" w:hAnsi="Open Sans"/>
          <w:b w:val="0"/>
          <w:i w:val="0"/>
          <w:sz w:val="21"/>
        </w:rPr>
        <w:t>This is not optional and it is the compliance step small companies miss most often.</w:t>
      </w:r>
    </w:p>
    <w:p>
      <w:pPr>
        <w:spacing w:after="80"/>
        <w:ind w:left="624" w:hanging="624"/>
        <w:jc w:val="both"/>
      </w:pPr>
      <w:r>
        <w:rPr>
          <w:rFonts w:ascii="Open Sans" w:hAnsi="Open Sans"/>
          <w:b/>
          <w:color w:val="191C4A"/>
          <w:sz w:val="21"/>
        </w:rPr>
        <w:t>25.1</w:t>
        <w:tab/>
      </w:r>
      <w:r>
        <w:rPr>
          <w:rFonts w:ascii="Open Sans" w:hAnsi="Open Sans"/>
          <w:b w:val="0"/>
          <w:i w:val="0"/>
          <w:sz w:val="21"/>
        </w:rPr>
        <w:t>The Company must file a beneficial ownership declaration with CIPC identifying every natural person who ultimately owns or effectively controls the Company, whether through shareholding, voting rights, the right to appoint or remove directors, or through a chain of ownership or control. CIPC uses 5% as its working indicator, together with control in fact.</w:t>
      </w:r>
    </w:p>
    <w:p>
      <w:pPr>
        <w:spacing w:after="80"/>
        <w:ind w:left="624" w:hanging="624"/>
        <w:jc w:val="both"/>
      </w:pPr>
      <w:r>
        <w:rPr>
          <w:rFonts w:ascii="Open Sans" w:hAnsi="Open Sans"/>
          <w:b/>
          <w:color w:val="191C4A"/>
          <w:sz w:val="21"/>
        </w:rPr>
        <w:t>25.2</w:t>
        <w:tab/>
      </w:r>
      <w:r>
        <w:rPr>
          <w:rFonts w:ascii="Open Sans" w:hAnsi="Open Sans"/>
          <w:b w:val="0"/>
          <w:i w:val="0"/>
          <w:sz w:val="21"/>
        </w:rPr>
        <w:t>The first declaration must be filed within 10 business days after the Company is incorporated.</w:t>
      </w:r>
    </w:p>
    <w:p>
      <w:pPr>
        <w:spacing w:after="80"/>
        <w:ind w:left="624" w:hanging="624"/>
        <w:jc w:val="both"/>
      </w:pPr>
      <w:r>
        <w:rPr>
          <w:rFonts w:ascii="Open Sans" w:hAnsi="Open Sans"/>
          <w:b/>
          <w:color w:val="191C4A"/>
          <w:sz w:val="21"/>
        </w:rPr>
        <w:t>25.3</w:t>
        <w:tab/>
      </w:r>
      <w:r>
        <w:rPr>
          <w:rFonts w:ascii="Open Sans" w:hAnsi="Open Sans"/>
          <w:b w:val="0"/>
          <w:i w:val="0"/>
          <w:sz w:val="21"/>
        </w:rPr>
        <w:t>After that, a declaration must be filed every year together with the annual return, which is due within 30 business days after the anniversary of incorporation.</w:t>
      </w:r>
    </w:p>
    <w:p>
      <w:pPr>
        <w:spacing w:after="80"/>
        <w:ind w:left="624" w:hanging="624"/>
        <w:jc w:val="both"/>
      </w:pPr>
      <w:r>
        <w:rPr>
          <w:rFonts w:ascii="Open Sans" w:hAnsi="Open Sans"/>
          <w:b/>
          <w:color w:val="191C4A"/>
          <w:sz w:val="21"/>
        </w:rPr>
        <w:t>25.4</w:t>
        <w:tab/>
      </w:r>
      <w:r>
        <w:rPr>
          <w:rFonts w:ascii="Open Sans" w:hAnsi="Open Sans"/>
          <w:b w:val="0"/>
          <w:i w:val="0"/>
          <w:sz w:val="21"/>
        </w:rPr>
        <w:t>Any change in beneficial ownership must be filed within 10 business days of the change.</w:t>
      </w:r>
    </w:p>
    <w:p>
      <w:pPr>
        <w:spacing w:after="80"/>
        <w:ind w:left="624" w:hanging="624"/>
        <w:jc w:val="both"/>
      </w:pPr>
      <w:r>
        <w:rPr>
          <w:rFonts w:ascii="Open Sans" w:hAnsi="Open Sans"/>
          <w:b/>
          <w:color w:val="191C4A"/>
          <w:sz w:val="21"/>
        </w:rPr>
        <w:t>25.5</w:t>
        <w:tab/>
      </w:r>
      <w:r>
        <w:rPr>
          <w:rFonts w:ascii="Open Sans" w:hAnsi="Open Sans"/>
          <w:b w:val="0"/>
          <w:i w:val="0"/>
          <w:sz w:val="21"/>
        </w:rPr>
        <w:t>The directors are responsible for keeping the Company's own beneficial ownership register up to date and for filing it.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Since 1 July 2024 CIPC applies a hard stop: you cannot file the annual return at all unless the beneficial ownership declaration goes in at the same time. Miss the annual return and you attract late lodgement fees; miss it for two years in a row and CIPC deregisters the company, which strips its legal personality and passes its assets to the state until it is reinstated. CIPC may also issue a compliance notice under section 171, and failure to comply with a compliance notice can attract an administrative fine of up to the greater of 10% of turnover during the period of non-compliance or R 1 000 000 under section 175(1).</w:t>
      </w:r>
    </w:p>
    <w:p>
      <w:pPr>
        <w:keepNext/>
        <w:spacing w:before="200" w:after="60"/>
      </w:pPr>
      <w:r>
        <w:rPr>
          <w:rFonts w:ascii="Montserrat" w:hAnsi="Montserrat"/>
          <w:b/>
          <w:color w:val="191C4A"/>
          <w:sz w:val="21"/>
        </w:rPr>
        <w:t>26. ANNUAL RETURN AND OTHER FILINGS</w:t>
      </w:r>
    </w:p>
    <w:p>
      <w:pPr>
        <w:spacing w:after="80"/>
        <w:ind w:left="624" w:hanging="624"/>
        <w:jc w:val="both"/>
      </w:pPr>
      <w:r>
        <w:rPr>
          <w:rFonts w:ascii="Open Sans" w:hAnsi="Open Sans"/>
          <w:b/>
          <w:color w:val="191C4A"/>
          <w:sz w:val="21"/>
        </w:rPr>
        <w:t>26.1</w:t>
        <w:tab/>
      </w:r>
      <w:r>
        <w:rPr>
          <w:rFonts w:ascii="Open Sans" w:hAnsi="Open Sans"/>
          <w:b w:val="0"/>
          <w:i w:val="0"/>
          <w:sz w:val="21"/>
        </w:rPr>
        <w:t>The Company must file an annual return with CIPC within 30 business days after the anniversary of its incorporation, every year, whether or not it traded. For a company with turnover under R 1 000 000 the fee is R100 if filed within that window, and R150 if filed late.</w:t>
      </w:r>
    </w:p>
    <w:p>
      <w:pPr>
        <w:spacing w:after="80"/>
        <w:ind w:left="624" w:hanging="624"/>
        <w:jc w:val="both"/>
      </w:pPr>
      <w:r>
        <w:rPr>
          <w:rFonts w:ascii="Open Sans" w:hAnsi="Open Sans"/>
          <w:b/>
          <w:color w:val="191C4A"/>
          <w:sz w:val="21"/>
        </w:rPr>
        <w:t>26.2</w:t>
        <w:tab/>
      </w:r>
      <w:r>
        <w:rPr>
          <w:rFonts w:ascii="Open Sans" w:hAnsi="Open Sans"/>
          <w:b w:val="0"/>
          <w:i w:val="0"/>
          <w:sz w:val="21"/>
        </w:rPr>
        <w:t>The annual return must be accompanied by the annual financial statements or, where the Company is not required to file financial statements, a financial accountability supplement on form CoR 30.2.</w:t>
      </w:r>
    </w:p>
    <w:p>
      <w:pPr>
        <w:spacing w:after="80"/>
        <w:ind w:left="624" w:hanging="624"/>
        <w:jc w:val="both"/>
      </w:pPr>
      <w:r>
        <w:rPr>
          <w:rFonts w:ascii="Open Sans" w:hAnsi="Open Sans"/>
          <w:b/>
          <w:color w:val="191C4A"/>
          <w:sz w:val="21"/>
        </w:rPr>
        <w:t>26.3</w:t>
        <w:tab/>
      </w:r>
      <w:r>
        <w:rPr>
          <w:rFonts w:ascii="Open Sans" w:hAnsi="Open Sans"/>
          <w:b w:val="0"/>
          <w:i w:val="0"/>
          <w:sz w:val="21"/>
        </w:rPr>
        <w:t>The Company must notify CIPC of any change of registered office, directors, auditor or company secretary, and of any amendment to this MOI, within the periods the Act requires.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pStyle w:val="Heading1"/>
      </w:pPr>
      <w:r>
        <w:t>Part 9: Amendment, disputes and winding up</w:t>
      </w:r>
    </w:p>
    <w:p>
      <w:pPr>
        <w:keepNext/>
        <w:spacing w:before="200" w:after="60"/>
      </w:pPr>
      <w:r>
        <w:rPr>
          <w:rFonts w:ascii="Montserrat" w:hAnsi="Montserrat"/>
          <w:b/>
          <w:color w:val="191C4A"/>
          <w:sz w:val="21"/>
        </w:rPr>
        <w:t>27. AMENDMENT OF THIS MOI</w:t>
      </w:r>
    </w:p>
    <w:p>
      <w:pPr>
        <w:spacing w:after="80"/>
        <w:ind w:left="624" w:hanging="624"/>
        <w:jc w:val="both"/>
      </w:pPr>
      <w:r>
        <w:rPr>
          <w:rFonts w:ascii="Open Sans" w:hAnsi="Open Sans"/>
          <w:b/>
          <w:color w:val="191C4A"/>
          <w:sz w:val="21"/>
        </w:rPr>
        <w:t>27.1</w:t>
        <w:tab/>
      </w:r>
      <w:r>
        <w:rPr>
          <w:rFonts w:ascii="Open Sans" w:hAnsi="Open Sans"/>
          <w:b w:val="0"/>
          <w:i w:val="0"/>
          <w:sz w:val="21"/>
        </w:rPr>
        <w:t>This MOI may be amended by special resolution of the shareholders, or in the other circumstances set out in section 16(1) of the Act, including a court order.</w:t>
      </w:r>
    </w:p>
    <w:p>
      <w:pPr>
        <w:spacing w:after="80"/>
        <w:ind w:left="624" w:hanging="624"/>
        <w:jc w:val="both"/>
      </w:pPr>
      <w:r>
        <w:rPr>
          <w:rFonts w:ascii="Open Sans" w:hAnsi="Open Sans"/>
          <w:b/>
          <w:color w:val="191C4A"/>
          <w:sz w:val="21"/>
        </w:rPr>
        <w:t>27.2</w:t>
        <w:tab/>
      </w:r>
      <w:r>
        <w:rPr>
          <w:rFonts w:ascii="Open Sans" w:hAnsi="Open Sans"/>
          <w:b w:val="0"/>
          <w:i w:val="0"/>
          <w:sz w:val="21"/>
        </w:rPr>
        <w:t>The Board may amend this MOI without a shareholders resolution only to correct an error in spelling, punctuation, grammar or a cross reference that does not change the substance of any provision.</w:t>
      </w:r>
    </w:p>
    <w:p>
      <w:pPr>
        <w:spacing w:after="80"/>
        <w:ind w:left="624" w:hanging="624"/>
        <w:jc w:val="both"/>
      </w:pPr>
      <w:r>
        <w:rPr>
          <w:rFonts w:ascii="Open Sans" w:hAnsi="Open Sans"/>
          <w:b/>
          <w:color w:val="191C4A"/>
          <w:sz w:val="21"/>
        </w:rPr>
        <w:t>27.3</w:t>
        <w:tab/>
      </w:r>
      <w:r>
        <w:rPr>
          <w:rFonts w:ascii="Open Sans" w:hAnsi="Open Sans"/>
          <w:b w:val="0"/>
          <w:i w:val="0"/>
          <w:sz w:val="21"/>
        </w:rPr>
        <w:t>An amendment must be filed with CIPC on a Notice of Amendment, form CoR 15.2, together with the resolution.</w:t>
      </w:r>
    </w:p>
    <w:p>
      <w:pPr>
        <w:spacing w:after="80"/>
        <w:ind w:left="624" w:hanging="624"/>
        <w:jc w:val="both"/>
      </w:pPr>
      <w:r>
        <w:rPr>
          <w:rFonts w:ascii="Open Sans" w:hAnsi="Open Sans"/>
          <w:b/>
          <w:color w:val="191C4A"/>
          <w:sz w:val="21"/>
        </w:rPr>
        <w:t>27.4</w:t>
        <w:tab/>
      </w:r>
      <w:r>
        <w:rPr>
          <w:rFonts w:ascii="Open Sans" w:hAnsi="Open Sans"/>
          <w:b w:val="0"/>
          <w:i w:val="0"/>
          <w:sz w:val="21"/>
        </w:rPr>
        <w:t>An amendment takes effect 10 business days after CIPC receives the Notice of Amendment, unless CIPC endorses or rejects it earlier, in which case it takes effect on the date of endorsement. This is section 16(9) of the Act as amended by the Companies Amendment Act 16 of 2024, which came into force on 27 December 2024. Do not act on an amendment before it takes effect.</w:t>
      </w:r>
    </w:p>
    <w:p>
      <w:pPr>
        <w:spacing w:after="80"/>
        <w:ind w:left="624" w:hanging="624"/>
        <w:jc w:val="both"/>
      </w:pPr>
      <w:r>
        <w:rPr>
          <w:rFonts w:ascii="Open Sans" w:hAnsi="Open Sans"/>
          <w:b/>
          <w:color w:val="191C4A"/>
          <w:sz w:val="21"/>
        </w:rPr>
        <w:t>27.5</w:t>
        <w:tab/>
      </w:r>
      <w:r>
        <w:rPr>
          <w:rFonts w:ascii="Open Sans" w:hAnsi="Open Sans"/>
          <w:b w:val="0"/>
          <w:i w:val="0"/>
          <w:color w:val="21759B"/>
          <w:sz w:val="21"/>
        </w:rPr>
        <w:t>[Optional entrenchment.]</w:t>
      </w:r>
      <w:r>
        <w:rPr>
          <w:rFonts w:ascii="Open Sans" w:hAnsi="Open Sans"/>
          <w:b w:val="0"/>
          <w:i w:val="0"/>
          <w:sz w:val="21"/>
        </w:rPr>
        <w:t xml:space="preserve"> Clauses </w:t>
      </w:r>
      <w:r>
        <w:rPr>
          <w:rFonts w:ascii="Open Sans" w:hAnsi="Open Sans"/>
          <w:b w:val="0"/>
          <w:i w:val="0"/>
          <w:color w:val="21759B"/>
          <w:sz w:val="21"/>
        </w:rPr>
        <w:t>[list the clause numbers, for example 11 and 22]</w:t>
      </w:r>
      <w:r>
        <w:rPr>
          <w:rFonts w:ascii="Open Sans" w:hAnsi="Open Sans"/>
          <w:b w:val="0"/>
          <w:i w:val="0"/>
          <w:sz w:val="21"/>
        </w:rPr>
        <w:t xml:space="preserve"> may only be amended with the support of at least </w:t>
      </w:r>
      <w:r>
        <w:rPr>
          <w:rFonts w:ascii="Open Sans" w:hAnsi="Open Sans"/>
          <w:b w:val="0"/>
          <w:i w:val="0"/>
          <w:color w:val="21759B"/>
          <w:sz w:val="21"/>
        </w:rPr>
        <w:t>[90%]</w:t>
      </w:r>
      <w:r>
        <w:rPr>
          <w:rFonts w:ascii="Open Sans" w:hAnsi="Open Sans"/>
          <w:b w:val="0"/>
          <w:i w:val="0"/>
          <w:sz w:val="21"/>
        </w:rPr>
        <w:t xml:space="preserve"> of the voting rights exercised, or with the written consent of every shareholder. Section 15(2)(c) of the Act allows this MOI to impose a higher requirement than a special resolution for particular provisions.</w:t>
      </w:r>
    </w:p>
    <w:p>
      <w:pPr>
        <w:keepNext/>
        <w:spacing w:before="200" w:after="60"/>
      </w:pPr>
      <w:r>
        <w:rPr>
          <w:rFonts w:ascii="Montserrat" w:hAnsi="Montserrat"/>
          <w:b/>
          <w:color w:val="191C4A"/>
          <w:sz w:val="21"/>
        </w:rPr>
        <w:t>28. UNALTERABLE PROVISIONS AND CONFLICT WITH THE ACT</w:t>
      </w:r>
    </w:p>
    <w:p>
      <w:pPr>
        <w:spacing w:after="80"/>
        <w:ind w:left="624" w:hanging="624"/>
        <w:jc w:val="both"/>
      </w:pPr>
      <w:r>
        <w:rPr>
          <w:rFonts w:ascii="Open Sans" w:hAnsi="Open Sans"/>
          <w:b/>
          <w:color w:val="191C4A"/>
          <w:sz w:val="21"/>
        </w:rPr>
        <w:t>28.1</w:t>
        <w:tab/>
      </w:r>
      <w:r>
        <w:rPr>
          <w:rFonts w:ascii="Open Sans" w:hAnsi="Open Sans"/>
          <w:b w:val="0"/>
          <w:i w:val="0"/>
          <w:sz w:val="21"/>
        </w:rPr>
        <w:t>The Act contains unalterable provisions, which this MOI cannot change, and alterable provisions, which it can. Any provision of this MOI that contravenes or is inconsistent with an unalterable provision is void to that extent, under section 15(1)(a) of the Act. The rest of the MOI still stands.</w:t>
      </w:r>
    </w:p>
    <w:p>
      <w:pPr>
        <w:spacing w:after="80"/>
        <w:ind w:left="624" w:hanging="624"/>
        <w:jc w:val="both"/>
      </w:pPr>
      <w:r>
        <w:rPr>
          <w:rFonts w:ascii="Open Sans" w:hAnsi="Open Sans"/>
          <w:b/>
          <w:color w:val="191C4A"/>
          <w:sz w:val="21"/>
        </w:rPr>
        <w:t>28.2</w:t>
        <w:tab/>
      </w:r>
      <w:r>
        <w:rPr>
          <w:rFonts w:ascii="Open Sans" w:hAnsi="Open Sans"/>
          <w:b w:val="0"/>
          <w:i w:val="0"/>
          <w:sz w:val="21"/>
        </w:rPr>
        <w:t>The following cannot be taken away or watered down by this MOI, among others: the directors' duties and standard of conduct in section 76, the personal liability of directors in section 77, the shareholders' right to remove a director by ordinary resolution in section 71(1), the right of a shareholder to inspect the records listed in section 26, the appraisal rights in section 164, the solvency and liquidity test in section 4, and the requirements for a distribution in section 46.</w:t>
      </w:r>
    </w:p>
    <w:p>
      <w:pPr>
        <w:spacing w:after="80"/>
        <w:ind w:left="624" w:hanging="624"/>
        <w:jc w:val="both"/>
      </w:pPr>
      <w:r>
        <w:rPr>
          <w:rFonts w:ascii="Open Sans" w:hAnsi="Open Sans"/>
          <w:b/>
          <w:color w:val="191C4A"/>
          <w:sz w:val="21"/>
        </w:rPr>
        <w:t>28.3</w:t>
        <w:tab/>
      </w:r>
      <w:r>
        <w:rPr>
          <w:rFonts w:ascii="Open Sans" w:hAnsi="Open Sans"/>
          <w:b w:val="0"/>
          <w:i w:val="0"/>
          <w:sz w:val="21"/>
        </w:rPr>
        <w:t>This MOI may impose a higher standard, a greater restriction, a longer period or a more onerous requirement than the Act, under section 15(2)(a)(iii). It may not do the opposite.</w:t>
      </w:r>
    </w:p>
    <w:p>
      <w:pPr>
        <w:spacing w:after="80"/>
        <w:ind w:left="624" w:hanging="624"/>
        <w:jc w:val="both"/>
      </w:pPr>
      <w:r>
        <w:rPr>
          <w:rFonts w:ascii="Open Sans" w:hAnsi="Open Sans"/>
          <w:b/>
          <w:color w:val="191C4A"/>
          <w:sz w:val="21"/>
        </w:rPr>
        <w:t>28.4</w:t>
        <w:tab/>
      </w:r>
      <w:r>
        <w:rPr>
          <w:rFonts w:ascii="Open Sans" w:hAnsi="Open Sans"/>
          <w:b w:val="0"/>
          <w:i w:val="0"/>
          <w:sz w:val="21"/>
        </w:rPr>
        <w:t>If there is any conflict between this MOI and the Act, the Act prevails.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is why an attorney's read matters. A clause that quietly waters down a director's duty or a shareholder's right of access is not merely unenforceable, it can give the people relying on it a false sense of protection for years, until the day it is tested.</w:t>
      </w:r>
    </w:p>
    <w:p>
      <w:pPr>
        <w:keepNext/>
        <w:spacing w:before="200" w:after="60"/>
      </w:pPr>
      <w:r>
        <w:rPr>
          <w:rFonts w:ascii="Montserrat" w:hAnsi="Montserrat"/>
          <w:b/>
          <w:color w:val="191C4A"/>
          <w:sz w:val="21"/>
        </w:rPr>
        <w:t>29. DISPUTE RESOLUTION</w:t>
      </w:r>
    </w:p>
    <w:p>
      <w:pPr>
        <w:spacing w:after="80"/>
        <w:ind w:left="624" w:hanging="624"/>
        <w:jc w:val="both"/>
      </w:pPr>
      <w:r>
        <w:rPr>
          <w:rFonts w:ascii="Open Sans" w:hAnsi="Open Sans"/>
          <w:b/>
          <w:color w:val="191C4A"/>
          <w:sz w:val="21"/>
        </w:rPr>
        <w:t>29.1</w:t>
        <w:tab/>
      </w:r>
      <w:r>
        <w:rPr>
          <w:rFonts w:ascii="Open Sans" w:hAnsi="Open Sans"/>
          <w:b w:val="0"/>
          <w:i w:val="0"/>
          <w:sz w:val="21"/>
        </w:rPr>
        <w:t xml:space="preserve">Any dispute between shareholders, or between a shareholder and the Company, arising out of this MOI must first be referred to mediation, to be started within </w:t>
      </w:r>
      <w:r>
        <w:rPr>
          <w:rFonts w:ascii="Open Sans" w:hAnsi="Open Sans"/>
          <w:b w:val="0"/>
          <w:i w:val="0"/>
          <w:color w:val="21759B"/>
          <w:sz w:val="21"/>
        </w:rPr>
        <w:t>[20]</w:t>
      </w:r>
      <w:r>
        <w:rPr>
          <w:rFonts w:ascii="Open Sans" w:hAnsi="Open Sans"/>
          <w:b w:val="0"/>
          <w:i w:val="0"/>
          <w:sz w:val="21"/>
        </w:rPr>
        <w:t xml:space="preserve"> business days of a written notice of dispute, before a mediator agreed between the parties or, failing agreement, appointed by the Arbitration Foundation of Southern Africa.</w:t>
      </w:r>
    </w:p>
    <w:p>
      <w:pPr>
        <w:spacing w:after="80"/>
        <w:ind w:left="624" w:hanging="624"/>
        <w:jc w:val="both"/>
      </w:pPr>
      <w:r>
        <w:rPr>
          <w:rFonts w:ascii="Open Sans" w:hAnsi="Open Sans"/>
          <w:b/>
          <w:color w:val="191C4A"/>
          <w:sz w:val="21"/>
        </w:rPr>
        <w:t>29.2</w:t>
        <w:tab/>
      </w:r>
      <w:r>
        <w:rPr>
          <w:rFonts w:ascii="Open Sans" w:hAnsi="Open Sans"/>
          <w:b w:val="0"/>
          <w:i w:val="0"/>
          <w:sz w:val="21"/>
        </w:rPr>
        <w:t xml:space="preserve">If mediation does not resolve the dispute within </w:t>
      </w:r>
      <w:r>
        <w:rPr>
          <w:rFonts w:ascii="Open Sans" w:hAnsi="Open Sans"/>
          <w:b w:val="0"/>
          <w:i w:val="0"/>
          <w:color w:val="21759B"/>
          <w:sz w:val="21"/>
        </w:rPr>
        <w:t>[30]</w:t>
      </w:r>
      <w:r>
        <w:rPr>
          <w:rFonts w:ascii="Open Sans" w:hAnsi="Open Sans"/>
          <w:b w:val="0"/>
          <w:i w:val="0"/>
          <w:sz w:val="21"/>
        </w:rPr>
        <w:t xml:space="preserve"> business days of the mediator's appointment, the dispute must be referred to arbitration under the rules of the Arbitration Foundation of Southern Africa, before one arbitrator, seated in </w:t>
      </w:r>
      <w:r>
        <w:rPr>
          <w:rFonts w:ascii="Open Sans" w:hAnsi="Open Sans"/>
          <w:b w:val="0"/>
          <w:i w:val="0"/>
          <w:color w:val="21759B"/>
          <w:sz w:val="21"/>
        </w:rPr>
        <w:t>[Johannesburg]</w:t>
      </w:r>
      <w:r>
        <w:rPr>
          <w:rFonts w:ascii="Open Sans" w:hAnsi="Open Sans"/>
          <w:b w:val="0"/>
          <w:i w:val="0"/>
          <w:sz w:val="21"/>
        </w:rPr>
        <w:t>, conducted in English and kept confidential. The award is final and may be made an order of court.</w:t>
      </w:r>
    </w:p>
    <w:p>
      <w:pPr>
        <w:spacing w:after="80"/>
        <w:ind w:left="624" w:hanging="624"/>
        <w:jc w:val="both"/>
      </w:pPr>
      <w:r>
        <w:rPr>
          <w:rFonts w:ascii="Open Sans" w:hAnsi="Open Sans"/>
          <w:b/>
          <w:color w:val="191C4A"/>
          <w:sz w:val="21"/>
        </w:rPr>
        <w:t>29.3</w:t>
        <w:tab/>
      </w:r>
      <w:r>
        <w:rPr>
          <w:rFonts w:ascii="Open Sans" w:hAnsi="Open Sans"/>
          <w:b w:val="0"/>
          <w:i w:val="0"/>
          <w:sz w:val="21"/>
        </w:rPr>
        <w:t>Nothing in this clause stops a party from applying to a court for urgent interim relief.</w:t>
      </w:r>
    </w:p>
    <w:p>
      <w:pPr>
        <w:spacing w:after="80"/>
        <w:ind w:left="624" w:hanging="624"/>
        <w:jc w:val="both"/>
      </w:pPr>
      <w:r>
        <w:rPr>
          <w:rFonts w:ascii="Open Sans" w:hAnsi="Open Sans"/>
          <w:b/>
          <w:color w:val="191C4A"/>
          <w:sz w:val="21"/>
        </w:rPr>
        <w:t>29.4</w:t>
        <w:tab/>
      </w:r>
      <w:r>
        <w:rPr>
          <w:rFonts w:ascii="Open Sans" w:hAnsi="Open Sans"/>
          <w:b w:val="0"/>
          <w:i w:val="0"/>
          <w:sz w:val="21"/>
        </w:rPr>
        <w:t>This clause does not take away any right a shareholder or director has under the Act, including the right to apply to the Companies Tribunal or to a court.</w:t>
      </w:r>
    </w:p>
    <w:p>
      <w:pPr>
        <w:keepNext/>
        <w:spacing w:before="200" w:after="60"/>
      </w:pPr>
      <w:r>
        <w:rPr>
          <w:rFonts w:ascii="Montserrat" w:hAnsi="Montserrat"/>
          <w:b/>
          <w:color w:val="191C4A"/>
          <w:sz w:val="21"/>
        </w:rPr>
        <w:t>30. WINDING UP AND DISSOLUTION</w:t>
      </w:r>
    </w:p>
    <w:p>
      <w:pPr>
        <w:spacing w:after="80"/>
        <w:ind w:left="624" w:hanging="624"/>
        <w:jc w:val="both"/>
      </w:pPr>
      <w:r>
        <w:rPr>
          <w:rFonts w:ascii="Open Sans" w:hAnsi="Open Sans"/>
          <w:b/>
          <w:color w:val="191C4A"/>
          <w:sz w:val="21"/>
        </w:rPr>
        <w:t>30.1</w:t>
        <w:tab/>
      </w:r>
      <w:r>
        <w:rPr>
          <w:rFonts w:ascii="Open Sans" w:hAnsi="Open Sans"/>
          <w:b w:val="0"/>
          <w:i w:val="0"/>
          <w:sz w:val="21"/>
        </w:rPr>
        <w:t>The Company may be wound up voluntarily by special resolution of the shareholders, in accordance with the Act and the Insolvency and Companies legislation that applies to the winding up of solvent companies.</w:t>
      </w:r>
    </w:p>
    <w:p>
      <w:pPr>
        <w:spacing w:after="80"/>
        <w:ind w:left="624" w:hanging="624"/>
        <w:jc w:val="both"/>
      </w:pPr>
      <w:r>
        <w:rPr>
          <w:rFonts w:ascii="Open Sans" w:hAnsi="Open Sans"/>
          <w:b/>
          <w:color w:val="191C4A"/>
          <w:sz w:val="21"/>
        </w:rPr>
        <w:t>30.2</w:t>
        <w:tab/>
      </w:r>
      <w:r>
        <w:rPr>
          <w:rFonts w:ascii="Open Sans" w:hAnsi="Open Sans"/>
          <w:b w:val="0"/>
          <w:i w:val="0"/>
          <w:sz w:val="21"/>
        </w:rPr>
        <w:t>Before a voluntary winding up, the Board must determine that the Company will satisfy the solvency and liquidity test, and the Company must deal with its creditors as the law requires.</w:t>
      </w:r>
    </w:p>
    <w:p>
      <w:pPr>
        <w:spacing w:after="80"/>
        <w:ind w:left="624" w:hanging="624"/>
        <w:jc w:val="both"/>
      </w:pPr>
      <w:r>
        <w:rPr>
          <w:rFonts w:ascii="Open Sans" w:hAnsi="Open Sans"/>
          <w:b/>
          <w:color w:val="191C4A"/>
          <w:sz w:val="21"/>
        </w:rPr>
        <w:t>30.3</w:t>
        <w:tab/>
      </w:r>
      <w:r>
        <w:rPr>
          <w:rFonts w:ascii="Open Sans" w:hAnsi="Open Sans"/>
          <w:b w:val="0"/>
          <w:i w:val="0"/>
          <w:sz w:val="21"/>
        </w:rPr>
        <w:t>On a winding up, after all liabilities and the costs of winding up have been paid, the remaining assets are distributed to shareholders in proportion to their shareholdings, subject to the rights of any class of shares.</w:t>
      </w:r>
    </w:p>
    <w:p>
      <w:pPr>
        <w:spacing w:after="80"/>
        <w:ind w:left="624" w:hanging="624"/>
        <w:jc w:val="both"/>
      </w:pPr>
      <w:r>
        <w:rPr>
          <w:rFonts w:ascii="Open Sans" w:hAnsi="Open Sans"/>
          <w:b/>
          <w:color w:val="191C4A"/>
          <w:sz w:val="21"/>
        </w:rPr>
        <w:t>30.4</w:t>
        <w:tab/>
      </w:r>
      <w:r>
        <w:rPr>
          <w:rFonts w:ascii="Open Sans" w:hAnsi="Open Sans"/>
          <w:b w:val="0"/>
          <w:i w:val="0"/>
          <w:sz w:val="21"/>
        </w:rPr>
        <w:t>A company that is deregistered for failing to file annual returns is not the same as a company that is wound up. Deregistration leaves debts unresolved and vests the assets in the state. If you want to close the Company, close it properly.</w:t>
      </w:r>
    </w:p>
    <w:p>
      <w:r>
        <w:br w:type="page"/>
      </w:r>
    </w:p>
    <w:p>
      <w:pPr>
        <w:pStyle w:val="Heading1"/>
      </w:pPr>
      <w:r>
        <w:t>Schedule A: Initial shareholders, shares and directors</w:t>
      </w:r>
    </w:p>
    <w:p>
      <w:pPr>
        <w:spacing w:after="120" w:before="0"/>
        <w:jc w:val="both"/>
      </w:pPr>
      <w:r>
        <w:rPr>
          <w:rFonts w:ascii="Open Sans" w:hAnsi="Open Sans"/>
          <w:b w:val="0"/>
          <w:i w:val="0"/>
          <w:sz w:val="21"/>
        </w:rPr>
        <w:t>Complete this schedule at incorporation. It forms part of this MOI.</w:t>
      </w:r>
    </w:p>
    <w:p>
      <w:pPr>
        <w:pStyle w:val="Heading2"/>
      </w:pPr>
      <w:r>
        <w:t>Shares in issue at incorporation</w:t>
      </w:r>
    </w:p>
    <w:tbl>
      <w:tblPr>
        <w:tblW w:type="dxa" w:w="9025"/>
        <w:jc w:val="center"/>
        <w:tblLayout w:type="fixed"/>
        <w:tblLook w:firstColumn="1" w:firstRow="1" w:lastColumn="0" w:lastRow="0" w:noHBand="0" w:noVBand="1" w:val="04A0"/>
      </w:tblPr>
      <w:tblGrid>
        <w:gridCol w:w="2707"/>
        <w:gridCol w:w="1985"/>
        <w:gridCol w:w="1083"/>
        <w:gridCol w:w="1083"/>
        <w:gridCol w:w="2166"/>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SHAREHOLDER FULL NAME</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ID OR REGISTRATION NUMBER</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SHARES</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 HELD</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CONSIDERATION PAID</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[YYMMDD XXXX XX X]</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[50]</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[50]</w:t>
            </w:r>
            <w:r>
              <w:rPr>
                <w:rFonts w:ascii="Open Sans" w:hAnsi="Open Sans"/>
                <w:b w:val="0"/>
                <w:i w:val="0"/>
                <w:sz w:val="19"/>
              </w:rPr>
              <w: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[50.00]</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[YYMMDD XXXX XX X]</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[50]</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[50]</w:t>
            </w:r>
            <w:r>
              <w:rPr>
                <w:rFonts w:ascii="Open Sans" w:hAnsi="Open Sans"/>
                <w:b w:val="0"/>
                <w:i w:val="0"/>
                <w:sz w:val="19"/>
              </w:rPr>
              <w: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[50.00]</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[YYMMDD XXXX XX X]</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r>
              <w:rPr>
                <w:rFonts w:ascii="Open Sans" w:hAnsi="Open Sans"/>
                <w:b w:val="0"/>
                <w:i w:val="0"/>
                <w:sz w:val="19"/>
              </w:rPr>
              <w: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 ]</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TOTAL</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[100]</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100%</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[100.00]</w:t>
            </w:r>
          </w:p>
        </w:tc>
      </w:tr>
    </w:tbl>
    <w:p>
      <w:pPr>
        <w:pStyle w:val="Heading2"/>
      </w:pPr>
      <w:r>
        <w:t>First directors</w:t>
      </w:r>
    </w:p>
    <w:tbl>
      <w:tblPr>
        <w:tblW w:type="dxa" w:w="9025"/>
        <w:jc w:val="center"/>
        <w:tblLayout w:type="fixed"/>
        <w:tblLook w:firstColumn="1" w:firstRow="1" w:lastColumn="0" w:lastRow="0" w:noHBand="0" w:noVBand="1" w:val="04A0"/>
      </w:tblPr>
      <w:tblGrid>
        <w:gridCol w:w="2346"/>
        <w:gridCol w:w="1985"/>
        <w:gridCol w:w="3068"/>
        <w:gridCol w:w="1624"/>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FULL NAME</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ID OR PASSPORT NUMBER</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RESIDENTIAL ADDRESS</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 OF APPOINTMENT</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[YYMMDD XXXX XX X]</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[Street, suburb, city]</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[YYMMDD XXXX XX X]</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[Street, suburb, city]</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[YYMMDD XXXX XX X]</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[Street, suburb, city]</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Every director must give consent in writing to act as a director, and a certified copy of each director's identity document goes to CIPC with the Notice of Incorporation.</w:t>
      </w:r>
    </w:p>
    <w:p>
      <w:pPr>
        <w:pStyle w:val="Heading1"/>
      </w:pPr>
      <w:r>
        <w:t>Schedule B: How fair value is worked out</w:t>
      </w:r>
    </w:p>
    <w:p>
      <w:pPr>
        <w:spacing w:after="120" w:before="0"/>
        <w:jc w:val="both"/>
      </w:pPr>
      <w:r>
        <w:rPr>
          <w:rFonts w:ascii="Open Sans" w:hAnsi="Open Sans"/>
          <w:b w:val="0"/>
          <w:i w:val="0"/>
          <w:sz w:val="21"/>
        </w:rPr>
        <w:t>This schedule applies wherever this MOI refers to the fair value of shares.</w:t>
      </w:r>
    </w:p>
    <w:p>
      <w:pPr>
        <w:pStyle w:val="ListNumber"/>
        <w:spacing w:after="60"/>
        <w:ind w:left="340"/>
      </w:pPr>
      <w:r>
        <w:rPr>
          <w:rFonts w:ascii="Open Sans" w:hAnsi="Open Sans"/>
          <w:b w:val="0"/>
          <w:i w:val="0"/>
          <w:sz w:val="21"/>
        </w:rPr>
        <w:t xml:space="preserve">The shareholders concerned have </w:t>
      </w:r>
      <w:r>
        <w:rPr>
          <w:rFonts w:ascii="Open Sans" w:hAnsi="Open Sans"/>
          <w:b w:val="0"/>
          <w:i w:val="0"/>
          <w:color w:val="21759B"/>
          <w:sz w:val="21"/>
        </w:rPr>
        <w:t>[15]</w:t>
      </w:r>
      <w:r>
        <w:rPr>
          <w:rFonts w:ascii="Open Sans" w:hAnsi="Open Sans"/>
          <w:b w:val="0"/>
          <w:i w:val="0"/>
          <w:sz w:val="21"/>
        </w:rPr>
        <w:t xml:space="preserve"> business days to agree the value in writing.</w:t>
      </w:r>
    </w:p>
    <w:p>
      <w:pPr>
        <w:pStyle w:val="ListNumber"/>
        <w:spacing w:after="60"/>
        <w:ind w:left="340"/>
      </w:pPr>
      <w:r>
        <w:rPr>
          <w:rFonts w:ascii="Open Sans" w:hAnsi="Open Sans"/>
          <w:b w:val="0"/>
          <w:i w:val="0"/>
          <w:sz w:val="21"/>
        </w:rPr>
        <w:t xml:space="preserve">Failing agreement, fair value is the higher of the net asset value per share shown in the most recent approved annual financial statements, adjusted for the market value of any immovable property and any distribution declared since that date, and the earnings based value, being the average profit before interest and tax for the last three completed financial years multiplied by </w:t>
      </w:r>
      <w:r>
        <w:rPr>
          <w:rFonts w:ascii="Open Sans" w:hAnsi="Open Sans"/>
          <w:b w:val="0"/>
          <w:i w:val="0"/>
          <w:color w:val="21759B"/>
          <w:sz w:val="21"/>
        </w:rPr>
        <w:t>[four]</w:t>
      </w:r>
      <w:r>
        <w:rPr>
          <w:rFonts w:ascii="Open Sans" w:hAnsi="Open Sans"/>
          <w:b w:val="0"/>
          <w:i w:val="0"/>
          <w:sz w:val="21"/>
        </w:rPr>
        <w:t>, less interest bearing debt, plus cash, divided by the number of shares in issue.</w:t>
      </w:r>
    </w:p>
    <w:p>
      <w:pPr>
        <w:pStyle w:val="ListNumber"/>
        <w:spacing w:after="60"/>
        <w:ind w:left="340"/>
      </w:pPr>
      <w:r>
        <w:rPr>
          <w:rFonts w:ascii="Open Sans" w:hAnsi="Open Sans"/>
          <w:b w:val="0"/>
          <w:i w:val="0"/>
          <w:sz w:val="21"/>
        </w:rPr>
        <w:t xml:space="preserve">Either shareholder may within </w:t>
      </w:r>
      <w:r>
        <w:rPr>
          <w:rFonts w:ascii="Open Sans" w:hAnsi="Open Sans"/>
          <w:b w:val="0"/>
          <w:i w:val="0"/>
          <w:color w:val="21759B"/>
          <w:sz w:val="21"/>
        </w:rPr>
        <w:t>[10]</w:t>
      </w:r>
      <w:r>
        <w:rPr>
          <w:rFonts w:ascii="Open Sans" w:hAnsi="Open Sans"/>
          <w:b w:val="0"/>
          <w:i w:val="0"/>
          <w:sz w:val="21"/>
        </w:rPr>
        <w:t xml:space="preserve"> business days refer the calculation to an independent valuer, being a chartered accountant (SA) agreed between them or, failing agreement, appointed by the President of the South African Institute of Chartered Accountants. The valuer acts as an expert and not as an arbitrator, must give written reasons, and must report within </w:t>
      </w:r>
      <w:r>
        <w:rPr>
          <w:rFonts w:ascii="Open Sans" w:hAnsi="Open Sans"/>
          <w:b w:val="0"/>
          <w:i w:val="0"/>
          <w:color w:val="21759B"/>
          <w:sz w:val="21"/>
        </w:rPr>
        <w:t>[30]</w:t>
      </w:r>
      <w:r>
        <w:rPr>
          <w:rFonts w:ascii="Open Sans" w:hAnsi="Open Sans"/>
          <w:b w:val="0"/>
          <w:i w:val="0"/>
          <w:sz w:val="21"/>
        </w:rPr>
        <w:t xml:space="preserve"> business days.</w:t>
      </w:r>
    </w:p>
    <w:p>
      <w:pPr>
        <w:pStyle w:val="ListNumber"/>
        <w:spacing w:after="60"/>
        <w:ind w:left="340"/>
      </w:pPr>
      <w:r>
        <w:rPr>
          <w:rFonts w:ascii="Open Sans" w:hAnsi="Open Sans"/>
          <w:b w:val="0"/>
          <w:i w:val="0"/>
          <w:sz w:val="21"/>
        </w:rPr>
        <w:t>No minority discount and no control premium is applied, unless the shareholders agree otherwise in writing.</w:t>
      </w:r>
    </w:p>
    <w:p>
      <w:pPr>
        <w:pStyle w:val="ListNumber"/>
        <w:spacing w:after="60"/>
        <w:ind w:left="340"/>
      </w:pPr>
      <w:r>
        <w:rPr>
          <w:rFonts w:ascii="Open Sans" w:hAnsi="Open Sans"/>
          <w:b w:val="0"/>
          <w:i w:val="0"/>
          <w:sz w:val="21"/>
        </w:rPr>
        <w:t>The valuer's costs are shared equally between the buying and selling shareholders, unless the valuer directs otherwise.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default formula beats "as the parties may agree" every time. Two people who are already in a fight will not agree on a number, and a valuation clause with no default sends them straight to court. Set the multiple in point 2 to something sensible for your industry and write it down now, while everyone still gets on.</w:t>
      </w:r>
    </w:p>
    <w:p>
      <w:pPr>
        <w:pStyle w:val="Heading1"/>
      </w:pPr>
      <w:r>
        <w:t>Schedule C: Filing checklist</w:t>
      </w:r>
    </w:p>
    <w:tbl>
      <w:tblPr>
        <w:tblW w:type="dxa" w:w="9025"/>
        <w:jc w:val="center"/>
        <w:tblLayout w:type="fixed"/>
        <w:tblLook w:firstColumn="1" w:firstRow="1" w:lastColumn="0" w:lastRow="0" w:noHBand="0" w:noVBand="1" w:val="04A0"/>
      </w:tblPr>
      <w:tblGrid>
        <w:gridCol w:w="541"/>
        <w:gridCol w:w="3971"/>
        <w:gridCol w:w="1985"/>
        <w:gridCol w:w="2527"/>
      </w:tblGrid>
      <w:tr>
        <w:trPr>
          <w:tblHeader w:val="true"/>
        </w:trPr>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TO DO</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FEE</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Reserve the company name on form CoR 9.1, or accept the registration number as the 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R50 online</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Before you lodge</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2</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Sign this MOI. Every incorporator signs</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None</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Before you lodge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3</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Complete the Notice of Incorporation, form CoR 14.1, and attach this MOI and each director's consent and certified identity document</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R475 for a customised MOI</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At lodgement, manually</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4</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Collect the registration certificate, form CoR 14.3, and the certified MOI</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None</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About five working days</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5</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File the beneficial ownership declaration</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None</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Within 10 business days of incorporation</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6</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Register the company for income tax with SARS and open a bank account</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None</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As soon as you are registered</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7</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Keep a copy of this MOI at the registered office and give a copy to every shareholder and director</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None</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Always</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8</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File the annual return with the beneficial ownership declaration</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R100 under R 1 000 000 turnover, filed on time</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Within 30 business days of each anniversary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you had chosen the standard form instead, steps 1 to 4 would have been one online session on BizPortal at R125, or R175 with a name reservation, and the company would have been registered the same day, with the SARS income tax number issued automatically.</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r>
        <w:br w:type="page"/>
      </w:r>
    </w:p>
    <w:p>
      <w:pPr>
        <w:pStyle w:val="Heading1"/>
      </w:pPr>
      <w:r>
        <w:t>Adoption of this Memorandum of Incorporation</w:t>
      </w:r>
    </w:p>
    <w:p>
      <w:pPr>
        <w:spacing w:after="120" w:before="0"/>
        <w:jc w:val="both"/>
      </w:pPr>
      <w:r>
        <w:rPr>
          <w:rFonts w:ascii="Open Sans" w:hAnsi="Open Sans"/>
          <w:b w:val="0"/>
          <w:i w:val="0"/>
          <w:sz w:val="21"/>
        </w:rPr>
        <w:t xml:space="preserve">We, the undersigned, being the incorporators of </w:t>
      </w:r>
      <w:r>
        <w:rPr>
          <w:rFonts w:ascii="Open Sans" w:hAnsi="Open Sans"/>
          <w:b w:val="0"/>
          <w:i w:val="0"/>
          <w:color w:val="21759B"/>
          <w:sz w:val="21"/>
        </w:rPr>
        <w:t>[FULL REGISTERED NAME]</w:t>
      </w:r>
      <w:r>
        <w:rPr>
          <w:rFonts w:ascii="Open Sans" w:hAnsi="Open Sans"/>
          <w:b w:val="0"/>
          <w:i w:val="0"/>
          <w:sz w:val="21"/>
        </w:rPr>
        <w:t xml:space="preserve"> (Proprietary) Limited, adopt this Memorandum of Incorporation in terms of section 13 of the Companies Act 71 of 2008, and we lodge it with the Notice of Incorporation, form CoR 14.1.</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Each incorporator signs below, before a witness. Signatures on an MOI lodged with CIPC should be in ink. Keep the signed original at the registered office.</w:t>
      </w:r>
    </w:p>
    <w:p>
      <w:pPr>
        <w:pStyle w:val="Heading2"/>
      </w:pPr>
      <w:r>
        <w:t>Signatures</w:t>
      </w:r>
    </w:p>
    <w:p>
      <w:pPr>
        <w:spacing w:after="20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this </w:t>
      </w:r>
      <w:r>
        <w:rPr>
          <w:rFonts w:ascii="Open Sans" w:hAnsi="Open Sans"/>
          <w:b w:val="0"/>
          <w:i w:val="0"/>
          <w:color w:val="21759B"/>
          <w:sz w:val="21"/>
        </w:rPr>
        <w:t>[DAY]</w:t>
      </w:r>
      <w:r>
        <w:rPr>
          <w:rFonts w:ascii="Open Sans" w:hAnsi="Open Sans"/>
          <w:b w:val="0"/>
          <w:i w:val="0"/>
          <w:sz w:val="21"/>
        </w:rPr>
        <w:t xml:space="preserve"> day of </w:t>
      </w:r>
      <w:r>
        <w:rPr>
          <w:rFonts w:ascii="Open Sans" w:hAnsi="Open Sans"/>
          <w:b w:val="0"/>
          <w:i w:val="0"/>
          <w:color w:val="21759B"/>
          <w:sz w:val="21"/>
        </w:rPr>
        <w:t>[MONTH]</w:t>
      </w:r>
      <w:r>
        <w:rPr>
          <w:rFonts w:ascii="Open Sans" w:hAnsi="Open Sans"/>
          <w:b w:val="0"/>
          <w:i w:val="0"/>
          <w:sz w:val="21"/>
        </w:rPr>
        <w:t xml:space="preserve"> </w:t>
      </w:r>
      <w:r>
        <w:rPr>
          <w:rFonts w:ascii="Open Sans" w:hAnsi="Open Sans"/>
          <w:b w:val="0"/>
          <w:i w:val="0"/>
          <w:color w:val="21759B"/>
          <w:sz w:val="21"/>
        </w:rPr>
        <w:t>[YEAR]</w:t>
      </w:r>
      <w:r>
        <w:rPr>
          <w:rFonts w:ascii="Open Sans" w:hAnsi="Open Sans"/>
          <w:b w:val="0"/>
          <w:i w:val="0"/>
          <w:sz w:val="21"/>
        </w:rPr>
        <w:t>.</w:t>
      </w:r>
    </w:p>
    <w:p>
      <w:pPr>
        <w:spacing w:before="200" w:after="0"/>
      </w:pPr>
      <w:r>
        <w:rPr>
          <w:rFonts w:ascii="Montserrat" w:hAnsi="Montserrat"/>
          <w:b/>
          <w:color w:val="191C4A"/>
          <w:sz w:val="18"/>
        </w:rPr>
        <w:t>INCORPORATOR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INCORPORATOR 2</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INCORPORATOR 3 (IF APPLICABLE)</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after="40" w:before="0"/>
      </w:pPr>
    </w:p>
    <w:p>
      <w:pPr>
        <w:spacing w:before="160" w:after="0"/>
      </w:pPr>
      <w:r>
        <w:rPr>
          <w:rFonts w:ascii="Montserrat" w:hAnsi="Montserrat"/>
          <w:b/>
          <w:color w:val="191C4A"/>
          <w:sz w:val="18"/>
        </w:rPr>
        <w:t>WITNESS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after="40" w:before="0"/>
      </w:pPr>
    </w:p>
    <w:p>
      <w:pPr>
        <w:spacing w:before="160" w:after="0"/>
      </w:pPr>
      <w:r>
        <w:rPr>
          <w:rFonts w:ascii="Montserrat" w:hAnsi="Montserrat"/>
          <w:b/>
          <w:color w:val="191C4A"/>
          <w:sz w:val="18"/>
        </w:rPr>
        <w:t>WITNESS 2</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Once the Company is registered, put a shareholders agreement in place if there is more than one owner. This MOI governs the Company. A shareholders agreement governs the people, and it is where the buy out, the deadlock and the exit terms belong.</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