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keepNext/>
      </w:pPr>
      <w:r>
        <w:rPr>
          <w:rFonts w:ascii="Montserrat" w:hAnsi="Montserrat"/>
          <w:b/>
          <w:color w:val="191C4A"/>
          <w:sz w:val="40"/>
        </w:rPr>
        <w:t>ANNUAL BUSINESS REVIEW</w:t>
      </w:r>
    </w:p>
    <w:p>
      <w:pPr>
        <w:spacing w:before="0" w:after="160"/>
        <w:keepNext/>
      </w:pPr>
      <w:r>
        <w:rPr>
          <w:rFonts w:ascii="Open Sans" w:hAnsi="Open Sans"/>
          <w:color w:val="6B6870"/>
          <w:sz w:val="20"/>
        </w:rPr>
        <w:t>Template E7 | Once a year, the owner reviews the business itself: the numbers, the customers, the prices, the compliance and the plan</w:t>
      </w:r>
    </w:p>
    <w:p>
      <w:pPr>
        <w:spacing w:before="0" w:after="200"/>
        <w:pBdr>
          <w:bottom w:val="single" w:sz="12" w:space="1" w:color="D7B428"/>
        </w:pBdr>
      </w:pPr>
    </w:p>
    <w:p>
      <w:pPr>
        <w:spacing w:after="120" w:before="0"/>
      </w:pPr>
      <w:r>
        <w:rPr>
          <w:rFonts w:ascii="Open Sans" w:hAnsi="Open Sans"/>
          <w:b w:val="0"/>
          <w:i w:val="0"/>
          <w:sz w:val="21"/>
        </w:rPr>
        <w:t>This is a review of the business, not of the people in it. Staff reviews are a different job and belong in C7 employee performance review. This one asks whether the business made money, kept its customers, charged enough, stayed compliant and did what it said it would do.</w:t>
      </w:r>
    </w:p>
    <w:p>
      <w:pPr>
        <w:spacing w:after="120" w:before="0"/>
      </w:pPr>
      <w:r>
        <w:rPr>
          <w:rFonts w:ascii="Open Sans" w:hAnsi="Open Sans"/>
          <w:b w:val="0"/>
          <w:i w:val="0"/>
          <w:sz w:val="21"/>
        </w:rPr>
        <w:t>Set aside half a day. Do it four to six weeks after your financial year end, when the figures are settled but the year is still fresh. Do it with the people who will have to act on it, which in most small businesses means the owner, the bookkeeper and anyone who owns a goal.</w:t>
      </w:r>
    </w:p>
    <w:tbl>
      <w:tblPr>
        <w:jc w:val="center"/>
        <w:tblLook w:firstColumn="1" w:firstRow="1" w:lastColumn="0" w:lastRow="0" w:noHBand="0" w:noVBand="1" w:val="04A0"/>
        <w:tblW w:w="9026" w:type="dxa"/>
        <w:tblLayout w:type="fixed"/>
      </w:tblPr>
      <w:tblGrid>
        <w:gridCol w:w="3791"/>
        <w:gridCol w:w="5235"/>
      </w:tblGrid>
      <w:tr>
        <w:trPr>
          <w:tblHeader w:val="true"/>
        </w:trPr>
        <w:tc>
          <w:tcPr>
            <w:tcW w:type="dxa" w:w="379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BRING WITH YOU</w:t>
            </w:r>
          </w:p>
        </w:tc>
        <w:tc>
          <w:tcPr>
            <w:tcW w:type="dxa" w:w="523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IT COMES FROM</w:t>
            </w:r>
          </w:p>
        </w:tc>
      </w:tr>
      <w:tr>
        <w:trPr>
          <w:cantSplit/>
        </w:trPr>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Profit and loss for the year, and the year before</w:t>
            </w:r>
          </w:p>
        </w:tc>
        <w:tc>
          <w:tcPr>
            <w:tcW w:type="dxa" w:w="523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B7 profit and loss, or your accountant's annual financial statements</w:t>
            </w:r>
          </w:p>
        </w:tc>
      </w:tr>
      <w:tr>
        <w:trPr>
          <w:cantSplit/>
        </w:trPr>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Balance sheet at year end</w:t>
            </w:r>
          </w:p>
        </w:tc>
        <w:tc>
          <w:tcPr>
            <w:tcW w:type="dxa" w:w="523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B11 balance sheet</w:t>
            </w:r>
          </w:p>
        </w:tc>
      </w:tr>
      <w:tr>
        <w:trPr>
          <w:cantSplit/>
        </w:trPr>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Budget you set for the year, against actual</w:t>
            </w:r>
          </w:p>
        </w:tc>
        <w:tc>
          <w:tcPr>
            <w:tcW w:type="dxa" w:w="523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B1 monthly budget, B4 annual budget</w:t>
            </w:r>
          </w:p>
        </w:tc>
      </w:tr>
      <w:tr>
        <w:trPr>
          <w:cantSplit/>
        </w:trPr>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Cash flow position and the next thirteen weeks</w:t>
            </w:r>
          </w:p>
        </w:tc>
        <w:tc>
          <w:tcPr>
            <w:tcW w:type="dxa" w:w="523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B12 cash flow forecast</w:t>
            </w:r>
          </w:p>
        </w:tc>
      </w:tr>
      <w:tr>
        <w:trPr>
          <w:cantSplit/>
        </w:trPr>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Debtors age analysis and the write off list</w:t>
            </w:r>
          </w:p>
        </w:tc>
        <w:tc>
          <w:tcPr>
            <w:tcW w:type="dxa" w:w="523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B3 billing statement and your invoicing records</w:t>
            </w:r>
          </w:p>
        </w:tc>
      </w:tr>
      <w:tr>
        <w:trPr>
          <w:cantSplit/>
        </w:trPr>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Last year's strategic plan and its objectives</w:t>
            </w:r>
          </w:p>
        </w:tc>
        <w:tc>
          <w:tcPr>
            <w:tcW w:type="dxa" w:w="523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A4 strategic plan</w:t>
            </w:r>
          </w:p>
        </w:tc>
      </w:tr>
      <w:tr>
        <w:trPr>
          <w:cantSplit/>
        </w:trPr>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Last year's action list from this review</w:t>
            </w:r>
          </w:p>
        </w:tc>
        <w:tc>
          <w:tcPr>
            <w:tcW w:type="dxa" w:w="523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E7, the previous year's copy</w:t>
            </w:r>
          </w:p>
        </w:tc>
      </w:tr>
      <w:tr>
        <w:trPr>
          <w:cantSplit/>
        </w:trPr>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continuity plan and the incident log</w:t>
            </w:r>
          </w:p>
        </w:tc>
        <w:tc>
          <w:tcPr>
            <w:tcW w:type="dxa" w:w="523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E4 business continuity plan</w:t>
            </w:r>
          </w:p>
        </w:tc>
      </w:tr>
      <w:tr>
        <w:trPr>
          <w:cantSplit/>
        </w:trPr>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Stock count and stock value</w:t>
            </w:r>
          </w:p>
        </w:tc>
        <w:tc>
          <w:tcPr>
            <w:tcW w:type="dxa" w:w="523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E1 stock sheet and inventory tracker</w:t>
            </w:r>
          </w:p>
        </w:tc>
      </w:tr>
      <w:tr>
        <w:trPr>
          <w:cantSplit/>
        </w:trPr>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Supplier scores</w:t>
            </w:r>
          </w:p>
        </w:tc>
        <w:tc>
          <w:tcPr>
            <w:tcW w:type="dxa" w:w="523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E6 supplier evaluation scorecard</w:t>
            </w:r>
          </w:p>
        </w:tc>
      </w:tr>
      <w:tr>
        <w:trPr>
          <w:cantSplit/>
        </w:trPr>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Vehicle running costs</w:t>
            </w:r>
          </w:p>
        </w:tc>
        <w:tc>
          <w:tcPr>
            <w:tcW w:type="dxa" w:w="523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E3 vehicle log book</w:t>
            </w:r>
          </w:p>
        </w:tc>
      </w:tr>
      <w:tr>
        <w:trPr>
          <w:cantSplit/>
        </w:trPr>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Staff list, contracts and leave balances</w:t>
            </w:r>
          </w:p>
        </w:tc>
        <w:tc>
          <w:tcPr>
            <w:tcW w:type="dxa" w:w="523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C5 contract of employment, C3 leave application form</w:t>
            </w:r>
          </w:p>
        </w:tc>
      </w:tr>
      <w:tr>
        <w:trPr>
          <w:cantSplit/>
        </w:trPr>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compliance folder: CIPC, SARS, COIDA, insurance and licences</w:t>
            </w:r>
          </w:p>
        </w:tc>
        <w:tc>
          <w:tcPr>
            <w:tcW w:type="dxa" w:w="523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G1 CIPC registration checklist, A7 SARS registration checklist</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do not start with next year until you have finished with this year. Every review that starts with goals ends with the same goals as last year, because nobody looked at why the last set did not happen.</w:t>
      </w: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Business name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[YOUR COMPANY NAME]</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Financial year reviewed</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[1 March 20XX to 28 February 20XX]</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of this review</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Present</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[Names and roles]</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Review led by</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Next review booked for</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p>
      <w:pPr>
        <w:pStyle w:val="Heading1"/>
      </w:pPr>
      <w:r>
        <w:t>Part 1. The year in numbers</w:t>
      </w:r>
    </w:p>
    <w:p>
      <w:pPr>
        <w:spacing w:after="120" w:before="0"/>
      </w:pPr>
      <w:r>
        <w:rPr>
          <w:rFonts w:ascii="Open Sans" w:hAnsi="Open Sans"/>
          <w:b w:val="0"/>
          <w:i w:val="0"/>
          <w:sz w:val="21"/>
        </w:rPr>
        <w:t>Fill this in before anyone gives an opinion. Opinions given after the numbers are much better than opinions given before them.</w:t>
      </w:r>
    </w:p>
    <w:p>
      <w:pPr>
        <w:pStyle w:val="Heading2"/>
      </w:pPr>
      <w:r>
        <w:t>1.1 The main figures</w:t>
      </w:r>
    </w:p>
    <w:tbl>
      <w:tblPr>
        <w:jc w:val="center"/>
        <w:tblLook w:firstColumn="1" w:firstRow="1" w:lastColumn="0" w:lastRow="0" w:noHBand="0" w:noVBand="1" w:val="04A0"/>
        <w:tblW w:w="9026" w:type="dxa"/>
        <w:tblLayout w:type="fixed"/>
      </w:tblPr>
      <w:tblGrid>
        <w:gridCol w:w="1534"/>
        <w:gridCol w:w="1805"/>
        <w:gridCol w:w="1264"/>
        <w:gridCol w:w="1264"/>
        <w:gridCol w:w="1173"/>
        <w:gridCol w:w="1986"/>
      </w:tblGrid>
      <w:tr>
        <w:trPr>
          <w:tblHeader w:val="true"/>
        </w:trPr>
        <w:tc>
          <w:tcPr>
            <w:tcW w:type="dxa" w:w="153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FIGURE</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YOU GET IT</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LAST YEAR</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THIS YEAR</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CHANGE</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TELLS YOU</w:t>
            </w:r>
          </w:p>
        </w:tc>
      </w:tr>
      <w:tr>
        <w:trPr>
          <w:cantSplit/>
        </w:trPr>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Revenue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B7 profit and loss, total income</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XX]</w:t>
            </w:r>
            <w:r>
              <w:rPr>
                <w:rFonts w:ascii="Open Sans" w:hAnsi="Open Sans"/>
                <w:b w:val="0"/>
                <w:i w:val="0"/>
                <w:sz w:val="17"/>
              </w:rPr>
              <w:t xml:space="preserve"> percent</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Whether the business grew</w:t>
            </w:r>
          </w:p>
        </w:tc>
      </w:tr>
      <w:tr>
        <w:trPr>
          <w:cantSplit/>
        </w:trPr>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Cost of sales</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B7</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XX]</w:t>
            </w:r>
            <w:r>
              <w:rPr>
                <w:rFonts w:ascii="Open Sans" w:hAnsi="Open Sans"/>
                <w:b w:val="0"/>
                <w:i w:val="0"/>
                <w:sz w:val="17"/>
              </w:rPr>
              <w:t xml:space="preserve"> percent</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What it costs you to deliver</w:t>
            </w:r>
          </w:p>
        </w:tc>
      </w:tr>
      <w:tr>
        <w:trPr>
          <w:cantSplit/>
        </w:trPr>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Gross profit</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B7, revenue less cost of sales</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XX]</w:t>
            </w:r>
            <w:r>
              <w:rPr>
                <w:rFonts w:ascii="Open Sans" w:hAnsi="Open Sans"/>
                <w:b w:val="0"/>
                <w:i w:val="0"/>
                <w:sz w:val="17"/>
              </w:rPr>
              <w:t xml:space="preserve"> percent</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What is left to run the business on</w:t>
            </w:r>
          </w:p>
        </w:tc>
      </w:tr>
      <w:tr>
        <w:trPr>
          <w:cantSplit/>
        </w:trPr>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Gross profit margin</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Gross profit divided by revenue</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[XX]</w:t>
            </w:r>
            <w:r>
              <w:rPr>
                <w:rFonts w:ascii="Open Sans" w:hAnsi="Open Sans"/>
                <w:b w:val="0"/>
                <w:i w:val="0"/>
                <w:sz w:val="17"/>
              </w:rPr>
              <w:t xml:space="preserve"> percent</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[XX]</w:t>
            </w:r>
            <w:r>
              <w:rPr>
                <w:rFonts w:ascii="Open Sans" w:hAnsi="Open Sans"/>
                <w:b w:val="0"/>
                <w:i w:val="0"/>
                <w:sz w:val="17"/>
              </w:rPr>
              <w:t xml:space="preserve"> percent</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XX]</w:t>
            </w:r>
            <w:r>
              <w:rPr>
                <w:rFonts w:ascii="Open Sans" w:hAnsi="Open Sans"/>
                <w:b w:val="0"/>
                <w:i w:val="0"/>
                <w:sz w:val="17"/>
              </w:rPr>
              <w:t xml:space="preserve"> points</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most important single number on this page</w:t>
            </w:r>
          </w:p>
        </w:tc>
      </w:tr>
      <w:tr>
        <w:trPr>
          <w:cantSplit/>
        </w:trPr>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Operating expenses</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B7, or B1 monthly budget</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XX]</w:t>
            </w:r>
            <w:r>
              <w:rPr>
                <w:rFonts w:ascii="Open Sans" w:hAnsi="Open Sans"/>
                <w:b w:val="0"/>
                <w:i w:val="0"/>
                <w:sz w:val="17"/>
              </w:rPr>
              <w:t xml:space="preserve"> percent</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What the business costs to keep open</w:t>
            </w:r>
          </w:p>
        </w:tc>
      </w:tr>
      <w:tr>
        <w:trPr>
          <w:cantSplit/>
        </w:trPr>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Net profit before tax</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B7</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XX]</w:t>
            </w:r>
            <w:r>
              <w:rPr>
                <w:rFonts w:ascii="Open Sans" w:hAnsi="Open Sans"/>
                <w:b w:val="0"/>
                <w:i w:val="0"/>
                <w:sz w:val="17"/>
              </w:rPr>
              <w:t xml:space="preserve"> percent</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Whether the year was worth it</w:t>
            </w:r>
          </w:p>
        </w:tc>
      </w:tr>
      <w:tr>
        <w:trPr>
          <w:cantSplit/>
        </w:trPr>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Net profit margin</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Net profit divided by revenue</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[XX]</w:t>
            </w:r>
            <w:r>
              <w:rPr>
                <w:rFonts w:ascii="Open Sans" w:hAnsi="Open Sans"/>
                <w:b w:val="0"/>
                <w:i w:val="0"/>
                <w:sz w:val="17"/>
              </w:rPr>
              <w:t xml:space="preserve"> percent</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[XX]</w:t>
            </w:r>
            <w:r>
              <w:rPr>
                <w:rFonts w:ascii="Open Sans" w:hAnsi="Open Sans"/>
                <w:b w:val="0"/>
                <w:i w:val="0"/>
                <w:sz w:val="17"/>
              </w:rPr>
              <w:t xml:space="preserve"> percent</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XX]</w:t>
            </w:r>
            <w:r>
              <w:rPr>
                <w:rFonts w:ascii="Open Sans" w:hAnsi="Open Sans"/>
                <w:b w:val="0"/>
                <w:i w:val="0"/>
                <w:sz w:val="17"/>
              </w:rPr>
              <w:t xml:space="preserve"> points</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How much of every rand you keep</w:t>
            </w:r>
          </w:p>
        </w:tc>
      </w:tr>
      <w:tr>
        <w:trPr>
          <w:cantSplit/>
        </w:trPr>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Owner's salary and drawings</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B1, and the loan account in B11</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XX]</w:t>
            </w:r>
            <w:r>
              <w:rPr>
                <w:rFonts w:ascii="Open Sans" w:hAnsi="Open Sans"/>
                <w:b w:val="0"/>
                <w:i w:val="0"/>
                <w:sz w:val="17"/>
              </w:rPr>
              <w:t xml:space="preserve"> percent</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Whether the business pays you properly, or you pay it</w:t>
            </w:r>
          </w:p>
        </w:tc>
      </w:tr>
      <w:tr>
        <w:trPr>
          <w:cantSplit/>
        </w:trPr>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Cash in the bank at year end</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B11 balance sheet</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XX]</w:t>
            </w:r>
            <w:r>
              <w:rPr>
                <w:rFonts w:ascii="Open Sans" w:hAnsi="Open Sans"/>
                <w:b w:val="0"/>
                <w:i w:val="0"/>
                <w:sz w:val="17"/>
              </w:rPr>
              <w:t xml:space="preserve"> percent</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only number that cannot be argued with</w:t>
            </w:r>
          </w:p>
        </w:tc>
      </w:tr>
      <w:tr>
        <w:trPr>
          <w:cantSplit/>
        </w:trPr>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Months of fixed costs held in cash</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Cash divided by monthly fixed costs, and see E4</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[X.X]</w:t>
            </w:r>
            <w:r>
              <w:rPr>
                <w:rFonts w:ascii="Open Sans" w:hAnsi="Open Sans"/>
                <w:b w:val="0"/>
                <w:i w:val="0"/>
                <w:sz w:val="17"/>
              </w:rPr>
              <w:t xml:space="preserve"> months</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[X.X]</w:t>
            </w:r>
            <w:r>
              <w:rPr>
                <w:rFonts w:ascii="Open Sans" w:hAnsi="Open Sans"/>
                <w:b w:val="0"/>
                <w:i w:val="0"/>
                <w:sz w:val="17"/>
              </w:rPr>
              <w:t xml:space="preserve"> months</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X.X]</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How long you could survive with no income</w:t>
            </w:r>
          </w:p>
        </w:tc>
      </w:tr>
      <w:tr>
        <w:trPr>
          <w:cantSplit/>
        </w:trPr>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Debtors at year end</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B11</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XX]</w:t>
            </w:r>
            <w:r>
              <w:rPr>
                <w:rFonts w:ascii="Open Sans" w:hAnsi="Open Sans"/>
                <w:b w:val="0"/>
                <w:i w:val="0"/>
                <w:sz w:val="17"/>
              </w:rPr>
              <w:t xml:space="preserve"> percent</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Money you have earned but not received</w:t>
            </w:r>
          </w:p>
        </w:tc>
      </w:tr>
      <w:tr>
        <w:trPr>
          <w:cantSplit/>
        </w:trPr>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Debtor days</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Debtors divided by revenue, times 365</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[XX]</w:t>
            </w:r>
            <w:r>
              <w:rPr>
                <w:rFonts w:ascii="Open Sans" w:hAnsi="Open Sans"/>
                <w:b w:val="0"/>
                <w:i w:val="0"/>
                <w:sz w:val="17"/>
              </w:rPr>
              <w:t xml:space="preserve"> days</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[XX]</w:t>
            </w:r>
            <w:r>
              <w:rPr>
                <w:rFonts w:ascii="Open Sans" w:hAnsi="Open Sans"/>
                <w:b w:val="0"/>
                <w:i w:val="0"/>
                <w:sz w:val="17"/>
              </w:rPr>
              <w:t xml:space="preserve"> days</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XX]</w:t>
            </w:r>
            <w:r>
              <w:rPr>
                <w:rFonts w:ascii="Open Sans" w:hAnsi="Open Sans"/>
                <w:b w:val="0"/>
                <w:i w:val="0"/>
                <w:sz w:val="17"/>
              </w:rPr>
              <w:t xml:space="preserve"> days</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How long your customers take to pay</w:t>
            </w:r>
          </w:p>
        </w:tc>
      </w:tr>
      <w:tr>
        <w:trPr>
          <w:cantSplit/>
        </w:trPr>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Bad debts written off</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B7 and your write off list</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XX]</w:t>
            </w:r>
            <w:r>
              <w:rPr>
                <w:rFonts w:ascii="Open Sans" w:hAnsi="Open Sans"/>
                <w:b w:val="0"/>
                <w:i w:val="0"/>
                <w:sz w:val="17"/>
              </w:rPr>
              <w:t xml:space="preserve"> percent</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real cost of weak onboarding, see E5</w:t>
            </w:r>
          </w:p>
        </w:tc>
      </w:tr>
      <w:tr>
        <w:trPr>
          <w:cantSplit/>
        </w:trPr>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Creditors at year end</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B11</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XX]</w:t>
            </w:r>
            <w:r>
              <w:rPr>
                <w:rFonts w:ascii="Open Sans" w:hAnsi="Open Sans"/>
                <w:b w:val="0"/>
                <w:i w:val="0"/>
                <w:sz w:val="17"/>
              </w:rPr>
              <w:t xml:space="preserve"> percent</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Money you owe and when it falls due</w:t>
            </w:r>
          </w:p>
        </w:tc>
      </w:tr>
      <w:tr>
        <w:trPr>
          <w:cantSplit/>
        </w:trPr>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Stock value at year end</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B11 and E1</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XX]</w:t>
            </w:r>
            <w:r>
              <w:rPr>
                <w:rFonts w:ascii="Open Sans" w:hAnsi="Open Sans"/>
                <w:b w:val="0"/>
                <w:i w:val="0"/>
                <w:sz w:val="17"/>
              </w:rPr>
              <w:t xml:space="preserve"> percent</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Cash sitting on a shelf</w:t>
            </w:r>
          </w:p>
        </w:tc>
      </w:tr>
      <w:tr>
        <w:trPr>
          <w:cantSplit/>
        </w:trPr>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Total staff cost</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B7, including UIF, SDL and COIDA</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XX]</w:t>
            </w:r>
            <w:r>
              <w:rPr>
                <w:rFonts w:ascii="Open Sans" w:hAnsi="Open Sans"/>
                <w:b w:val="0"/>
                <w:i w:val="0"/>
                <w:sz w:val="17"/>
              </w:rPr>
              <w:t xml:space="preserve"> percent</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Usually the largest fixed cost</w:t>
            </w:r>
          </w:p>
        </w:tc>
      </w:tr>
      <w:tr>
        <w:trPr>
          <w:cantSplit/>
        </w:trPr>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Number of employees at year end</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Your staff list</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 X]</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Read with revenue per employee below</w:t>
            </w:r>
          </w:p>
        </w:tc>
      </w:tr>
    </w:tbl>
    <w:p>
      <w:pPr>
        <w:pStyle w:val="Heading2"/>
      </w:pPr>
      <w:r>
        <w:t>1.2 The figures that explain the figures</w:t>
      </w:r>
    </w:p>
    <w:tbl>
      <w:tblPr>
        <w:jc w:val="center"/>
        <w:tblLook w:firstColumn="1" w:firstRow="1" w:lastColumn="0" w:lastRow="0" w:noHBand="0" w:noVBand="1" w:val="04A0"/>
        <w:tblW w:w="9025" w:type="dxa"/>
        <w:tblLayout w:type="fixed"/>
      </w:tblPr>
      <w:tblGrid>
        <w:gridCol w:w="1805"/>
        <w:gridCol w:w="2166"/>
        <w:gridCol w:w="1173"/>
        <w:gridCol w:w="1173"/>
        <w:gridCol w:w="2708"/>
      </w:tblGrid>
      <w:tr>
        <w:trPr>
          <w:tblHeader w:val="true"/>
        </w:trPr>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MEASURE</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TO WORK IT OUT</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LAST YEAR</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THIS YEAR</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A BAD ANSWER LOOKS LIKE</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Revenue per employee</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Revenue divided by the number of people, including the owner</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Falling while headcount rises. You are adding people, not capacity</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Average invoice value</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Revenue divided by the number of invoices</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Falling, which means more work for the same money</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Number of active customers</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Customers who bought at least once in the year</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Falling while revenue holds, which means concentration is rising</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Biggest customer as a share of revenue</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Their revenue divided by total revenue</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[XX]</w:t>
            </w:r>
            <w:r>
              <w:rPr>
                <w:rFonts w:ascii="Open Sans" w:hAnsi="Open Sans"/>
                <w:b w:val="0"/>
                <w:i w:val="0"/>
                <w:sz w:val="17"/>
              </w:rPr>
              <w:t xml:space="preserve"> percent</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[XX]</w:t>
            </w:r>
            <w:r>
              <w:rPr>
                <w:rFonts w:ascii="Open Sans" w:hAnsi="Open Sans"/>
                <w:b w:val="0"/>
                <w:i w:val="0"/>
                <w:sz w:val="17"/>
              </w:rPr>
              <w:t xml:space="preserve"> percent</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Above 30 percent, see Part 3</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Top three customers as a share of revenue</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Same calculation for the three largest</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[XX]</w:t>
            </w:r>
            <w:r>
              <w:rPr>
                <w:rFonts w:ascii="Open Sans" w:hAnsi="Open Sans"/>
                <w:b w:val="0"/>
                <w:i w:val="0"/>
                <w:sz w:val="17"/>
              </w:rPr>
              <w:t xml:space="preserve"> percent</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[XX]</w:t>
            </w:r>
            <w:r>
              <w:rPr>
                <w:rFonts w:ascii="Open Sans" w:hAnsi="Open Sans"/>
                <w:b w:val="0"/>
                <w:i w:val="0"/>
                <w:sz w:val="17"/>
              </w:rPr>
              <w:t xml:space="preserve"> percent</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Above 60 percent</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Quotes sent, and quotes won</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B2 quotation records</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w:t>
            </w:r>
            <w:r>
              <w:rPr>
                <w:rFonts w:ascii="Open Sans" w:hAnsi="Open Sans"/>
                <w:b w:val="0"/>
                <w:i w:val="0"/>
                <w:sz w:val="17"/>
              </w:rPr>
              <w:t xml:space="preserve"> / </w:t>
            </w:r>
            <w:r>
              <w:rPr>
                <w:rFonts w:ascii="Open Sans" w:hAnsi="Open Sans"/>
                <w:b w:val="0"/>
                <w:i w:val="0"/>
                <w:color w:val="21759B"/>
                <w:sz w:val="17"/>
              </w:rPr>
              <w:t>[X]</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w:t>
            </w:r>
            <w:r>
              <w:rPr>
                <w:rFonts w:ascii="Open Sans" w:hAnsi="Open Sans"/>
                <w:b w:val="0"/>
                <w:i w:val="0"/>
                <w:sz w:val="17"/>
              </w:rPr>
              <w:t xml:space="preserve"> / </w:t>
            </w:r>
            <w:r>
              <w:rPr>
                <w:rFonts w:ascii="Open Sans" w:hAnsi="Open Sans"/>
                <w:b w:val="0"/>
                <w:i w:val="0"/>
                <w:color w:val="21759B"/>
                <w:sz w:val="17"/>
              </w:rPr>
              <w:t>[X]</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 falling win rate, or a rising one at a falling margin</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Win rate</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Quotes won divided by quotes sent</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[XX]</w:t>
            </w:r>
            <w:r>
              <w:rPr>
                <w:rFonts w:ascii="Open Sans" w:hAnsi="Open Sans"/>
                <w:b w:val="0"/>
                <w:i w:val="0"/>
                <w:sz w:val="17"/>
              </w:rPr>
              <w:t xml:space="preserve"> percent</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[XX]</w:t>
            </w:r>
            <w:r>
              <w:rPr>
                <w:rFonts w:ascii="Open Sans" w:hAnsi="Open Sans"/>
                <w:b w:val="0"/>
                <w:i w:val="0"/>
                <w:sz w:val="17"/>
              </w:rPr>
              <w:t xml:space="preserve"> percent</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Above 90 percent usually means your prices are too low</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Repeat customers</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Customers who bought more than once</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Falling, which is the earliest warning of a service problem</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Stock turns</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Cost of sales divided by average stock value, from E1</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[X.X]</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[X.X]</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Falling, which means cash is stuck in stock</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Vehicle cost per kilometre</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E3 vehicle log book</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Rising faster than the fuel price</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Outage hours lost, from any cause</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E4 incident log. Count load shedding, load reduction and ordinary faults separately</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w:t>
            </w:r>
            <w:r>
              <w:rPr>
                <w:rFonts w:ascii="Open Sans" w:hAnsi="Open Sans"/>
                <w:b w:val="0"/>
                <w:i w:val="0"/>
                <w:sz w:val="17"/>
              </w:rPr>
              <w:t xml:space="preserve"> hours</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[X]</w:t>
            </w:r>
            <w:r>
              <w:rPr>
                <w:rFonts w:ascii="Open Sans" w:hAnsi="Open Sans"/>
                <w:b w:val="0"/>
                <w:i w:val="0"/>
                <w:sz w:val="17"/>
              </w:rPr>
              <w:t xml:space="preserve"> hours</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Rising, and no backup decision taken</w:t>
            </w:r>
          </w:p>
        </w:tc>
      </w:tr>
    </w:tbl>
    <w:p>
      <w:pPr>
        <w:pStyle w:val="Heading2"/>
      </w:pPr>
      <w:r>
        <w:t>1.3 Budget against actual</w:t>
      </w:r>
    </w:p>
    <w:tbl>
      <w:tblPr>
        <w:jc w:val="center"/>
        <w:tblLook w:firstColumn="1" w:firstRow="1" w:lastColumn="0" w:lastRow="0" w:noHBand="0" w:noVBand="1" w:val="04A0"/>
        <w:tblW w:w="9026" w:type="dxa"/>
        <w:tblLayout w:type="fixed"/>
      </w:tblPr>
      <w:tblGrid>
        <w:gridCol w:w="2347"/>
        <w:gridCol w:w="1534"/>
        <w:gridCol w:w="1354"/>
        <w:gridCol w:w="1354"/>
        <w:gridCol w:w="2437"/>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r>
          </w:p>
        </w:tc>
        <w:tc>
          <w:tcPr>
            <w:tcW w:type="dxa" w:w="153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BUDGET FOR THE YEAR</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ACTUAL</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DIFFERENCE</w:t>
            </w:r>
          </w:p>
        </w:tc>
        <w:tc>
          <w:tcPr>
            <w:tcW w:type="dxa" w:w="243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WHY</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Revenue</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honest reason]</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Gross profit</w:t>
            </w: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[Reason]</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Operating expenses</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[Reason]</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Net profit</w:t>
            </w: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[Reason]</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three expenses that ran furthest over</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[Reason]</w:t>
            </w:r>
          </w:p>
        </w:tc>
      </w:tr>
    </w:tbl>
    <w:p>
      <w:pPr>
        <w:spacing w:before="80" w:after="160"/>
        <w:ind w:left="170"/>
        <w:pBdr>
          <w:left w:val="single" w:sz="18" w:space="8" w:color="21759B"/>
        </w:pBdr>
      </w:pPr>
      <w:r>
        <w:rPr>
          <w:rFonts w:ascii="Open Sans" w:hAnsi="Open Sans"/>
          <w:b/>
          <w:i/>
          <w:color w:val="21759B"/>
          <w:sz w:val="18"/>
        </w:rPr>
        <w:t xml:space="preserve">Worked example: </w:t>
      </w:r>
      <w:r>
        <w:rPr>
          <w:rFonts w:ascii="Open Sans" w:hAnsi="Open Sans"/>
          <w:b w:val="0"/>
          <w:i/>
          <w:color w:val="6B6870"/>
          <w:sz w:val="18"/>
        </w:rPr>
        <w:t>Sizani Building Contractors reviewed its year and found revenue up 12 percent but net profit down. Gross margin had fallen from 24 to 19 percent, because three jobs quoted in March were built in November at November material prices. The action was not to chase more revenue. It was to put a 30 day validity on every quote and a material price escalation clause on anything with a build date more than 60 days out. Nothing else about the business changed and the next year's margin came back to 23 percent.</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if you cannot fill in most of this page, that is the first finding of the review. The action is to get the bookkeeping current, because every other decision in this document depends on it.</w:t>
      </w:r>
    </w:p>
    <w:p>
      <w:r>
        <w:br w:type="page"/>
      </w:r>
    </w:p>
    <w:p>
      <w:pPr>
        <w:pStyle w:val="Heading1"/>
      </w:pPr>
      <w:r>
        <w:t>Part 2. What worked and what did not</w:t>
      </w:r>
    </w:p>
    <w:p>
      <w:pPr>
        <w:spacing w:after="120" w:before="0"/>
      </w:pPr>
      <w:r>
        <w:rPr>
          <w:rFonts w:ascii="Open Sans" w:hAnsi="Open Sans"/>
          <w:b w:val="0"/>
          <w:i w:val="0"/>
          <w:sz w:val="21"/>
        </w:rPr>
        <w:t>Be specific and be unflattering. "Marketing" is not an answer. "The two site boards we put up in Mthatha brought eleven enquiries and four jobs" is.</w:t>
      </w:r>
    </w:p>
    <w:tbl>
      <w:tblPr>
        <w:jc w:val="center"/>
        <w:tblLook w:firstColumn="1" w:firstRow="1" w:lastColumn="0" w:lastRow="0" w:noHBand="0" w:noVBand="1" w:val="04A0"/>
        <w:tblW w:w="9026" w:type="dxa"/>
        <w:tblLayout w:type="fixed"/>
      </w:tblPr>
      <w:tblGrid>
        <w:gridCol w:w="2527"/>
        <w:gridCol w:w="3069"/>
        <w:gridCol w:w="1805"/>
        <w:gridCol w:w="1625"/>
      </w:tblGrid>
      <w:tr>
        <w:trPr>
          <w:tblHeader w:val="true"/>
        </w:trPr>
        <w:tc>
          <w:tcPr>
            <w:tcW w:type="dxa" w:w="252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WORKED</w:t>
            </w:r>
          </w:p>
        </w:tc>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WE KNOW, WITH A NUMBER</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DO WE DO MORE OF IT?</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WOULD COST</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specific thing]</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evidence: enquiries, revenue, margin, hours saved]</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 / More of it]</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[Thing 2]</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[Evidence]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[Decision]</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[Thing 3]</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[Evidence]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[Decision]</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[Thing 4]</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[Evidence]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[Decision]</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[Thing 5]</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[Evidence]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[Decision]</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bl>
    <w:tbl>
      <w:tblPr>
        <w:jc w:val="center"/>
        <w:tblLook w:firstColumn="1" w:firstRow="1" w:lastColumn="0" w:lastRow="0" w:noHBand="0" w:noVBand="1" w:val="04A0"/>
        <w:tblW w:w="9026" w:type="dxa"/>
        <w:tblLayout w:type="fixed"/>
      </w:tblPr>
      <w:tblGrid>
        <w:gridCol w:w="2527"/>
        <w:gridCol w:w="1625"/>
        <w:gridCol w:w="3069"/>
        <w:gridCol w:w="1805"/>
      </w:tblGrid>
      <w:tr>
        <w:trPr>
          <w:tblHeader w:val="true"/>
        </w:trPr>
        <w:tc>
          <w:tcPr>
            <w:tcW w:type="dxa" w:w="252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DID NOT WORK</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COST US</w:t>
            </w:r>
          </w:p>
        </w:tc>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WHY, HONESTLY</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STOP, FIX OR ACCEPT?</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specific thing]</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r>
              <w:rPr>
                <w:rFonts w:ascii="Open Sans" w:hAnsi="Open Sans"/>
                <w:b w:val="0"/>
                <w:i w:val="0"/>
                <w:sz w:val="18"/>
              </w:rPr>
              <w:t xml:space="preserve"> or </w:t>
            </w:r>
            <w:r>
              <w:rPr>
                <w:rFonts w:ascii="Open Sans" w:hAnsi="Open Sans"/>
                <w:b w:val="0"/>
                <w:i w:val="0"/>
                <w:color w:val="21759B"/>
                <w:sz w:val="18"/>
              </w:rPr>
              <w:t>[X]</w:t>
            </w:r>
            <w:r>
              <w:rPr>
                <w:rFonts w:ascii="Open Sans" w:hAnsi="Open Sans"/>
                <w:b w:val="0"/>
                <w:i w:val="0"/>
                <w:sz w:val="18"/>
              </w:rPr>
              <w:t xml:space="preserve"> hours</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real reason, not the comfortable one]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[Stop / Fix / Accept]</w:t>
            </w:r>
          </w:p>
        </w:tc>
      </w:tr>
      <w:tr>
        <w:trPr>
          <w:cantSplit/>
        </w:trPr>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[Thing 2]</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[Reason]</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[Decision]</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[Thing 3]</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[Reason]</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[Decision]</w:t>
            </w:r>
          </w:p>
        </w:tc>
      </w:tr>
      <w:tr>
        <w:trPr>
          <w:cantSplit/>
        </w:trPr>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[Thing 4]</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[Reason]</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[Decision]</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[Thing 5]</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[Reason]</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[Decision]</w:t>
            </w:r>
          </w:p>
        </w:tc>
      </w:tr>
    </w:tbl>
    <w:p>
      <w:pPr>
        <w:pStyle w:val="Heading2"/>
      </w:pPr>
      <w:r>
        <w:t>The three questions worth answering out loud</w:t>
      </w:r>
    </w:p>
    <w:p>
      <w:pPr>
        <w:pStyle w:val="ListBullet"/>
        <w:spacing w:after="60"/>
        <w:ind w:left="340"/>
      </w:pPr>
      <w:r>
        <w:rPr>
          <w:rFonts w:ascii="Open Sans" w:hAnsi="Open Sans"/>
          <w:b w:val="0"/>
          <w:i w:val="0"/>
          <w:sz w:val="21"/>
        </w:rPr>
        <w:t>What are we still doing out of habit that no longer earns anything?</w:t>
      </w:r>
    </w:p>
    <w:p>
      <w:pPr>
        <w:pStyle w:val="ListBullet"/>
        <w:spacing w:after="60"/>
        <w:ind w:left="340"/>
      </w:pPr>
      <w:r>
        <w:rPr>
          <w:rFonts w:ascii="Open Sans" w:hAnsi="Open Sans"/>
          <w:b w:val="0"/>
          <w:i w:val="0"/>
          <w:sz w:val="21"/>
        </w:rPr>
        <w:t>What did we promise a customer this year that we could not deliver, and why?</w:t>
      </w:r>
    </w:p>
    <w:p>
      <w:pPr>
        <w:pStyle w:val="ListBullet"/>
        <w:spacing w:after="60"/>
        <w:ind w:left="340"/>
      </w:pPr>
      <w:r>
        <w:rPr>
          <w:rFonts w:ascii="Open Sans" w:hAnsi="Open Sans"/>
          <w:b w:val="0"/>
          <w:i w:val="0"/>
          <w:sz w:val="21"/>
        </w:rPr>
        <w:t>If we had to drop one product, one service or one customer tomorrow, which would it be, and why have we not done it?</w:t>
      </w:r>
    </w:p>
    <w:p>
      <w:pPr>
        <w:pStyle w:val="Heading1"/>
      </w:pPr>
      <w:r>
        <w:t>Part 3. Customers gained and lost</w:t>
      </w:r>
    </w:p>
    <w:p>
      <w:pPr>
        <w:spacing w:after="120" w:before="0"/>
      </w:pPr>
      <w:r>
        <w:rPr>
          <w:rFonts w:ascii="Open Sans" w:hAnsi="Open Sans"/>
          <w:b w:val="0"/>
          <w:i w:val="0"/>
          <w:sz w:val="21"/>
        </w:rPr>
        <w:t>A business with growing revenue and shrinking customers is a business becoming more fragile, not less. Count both.</w:t>
      </w:r>
    </w:p>
    <w:tbl>
      <w:tblPr>
        <w:jc w:val="center"/>
        <w:tblLook w:firstColumn="1" w:firstRow="1" w:lastColumn="0" w:lastRow="0" w:noHBand="0" w:noVBand="1" w:val="04A0"/>
        <w:tblW w:w="9026" w:type="dxa"/>
        <w:tblLayout w:type="fixed"/>
      </w:tblPr>
      <w:tblGrid>
        <w:gridCol w:w="3430"/>
        <w:gridCol w:w="1083"/>
        <w:gridCol w:w="1625"/>
        <w:gridCol w:w="2888"/>
      </w:tblGrid>
      <w:tr>
        <w:trPr>
          <w:tblHeader w:val="true"/>
        </w:trPr>
        <w:tc>
          <w:tcPr>
            <w:tcW w:type="dxa" w:w="343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NUMBER</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REVENUE</w:t>
            </w:r>
          </w:p>
        </w:tc>
        <w:tc>
          <w:tcPr>
            <w:tcW w:type="dxa" w:w="288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NOTES</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Customers at the start of the year</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New customers gained</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[Where they came from]</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Customers lost</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reasons are below]</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Customers at the end of the year</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Dormant: bought last year, not this year</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[These are the cheapest customers to win back]</w:t>
            </w:r>
          </w:p>
        </w:tc>
      </w:tr>
    </w:tbl>
    <w:p>
      <w:pPr>
        <w:pStyle w:val="Heading2"/>
      </w:pPr>
      <w:r>
        <w:t>3.1 Customers gained</w:t>
      </w:r>
    </w:p>
    <w:tbl>
      <w:tblPr>
        <w:jc w:val="center"/>
        <w:tblLook w:firstColumn="1" w:firstRow="1" w:lastColumn="0" w:lastRow="0" w:noHBand="0" w:noVBand="1" w:val="04A0"/>
        <w:tblW w:w="9026" w:type="dxa"/>
        <w:tblLayout w:type="fixed"/>
      </w:tblPr>
      <w:tblGrid>
        <w:gridCol w:w="2166"/>
        <w:gridCol w:w="2708"/>
        <w:gridCol w:w="1444"/>
        <w:gridCol w:w="1083"/>
        <w:gridCol w:w="1625"/>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CUSTOMER</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THEY FOUND US</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REVENUE THIS YEAR</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MARGIN</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WILL THEY COME BACK?</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[Referral / online / passing / tender / cold approach]</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 / Not sure]</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[Source]</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[Source]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[Source]</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[Source]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bl>
    <w:p>
      <w:pPr>
        <w:pStyle w:val="Heading2"/>
      </w:pPr>
      <w:r>
        <w:t>3.2 Customers lost, and why</w:t>
      </w:r>
    </w:p>
    <w:p>
      <w:pPr>
        <w:spacing w:after="120" w:before="0"/>
      </w:pPr>
      <w:r>
        <w:rPr>
          <w:rFonts w:ascii="Open Sans" w:hAnsi="Open Sans"/>
          <w:b w:val="0"/>
          <w:i w:val="0"/>
          <w:sz w:val="21"/>
        </w:rPr>
        <w:t>Ask them. Most will tell you, and the answer is almost never the one you assumed.</w:t>
      </w:r>
    </w:p>
    <w:tbl>
      <w:tblPr>
        <w:jc w:val="center"/>
        <w:tblLook w:firstColumn="1" w:firstRow="1" w:lastColumn="0" w:lastRow="0" w:noHBand="0" w:noVBand="1" w:val="04A0"/>
        <w:tblW w:w="9026" w:type="dxa"/>
        <w:tblLayout w:type="fixed"/>
      </w:tblPr>
      <w:tblGrid>
        <w:gridCol w:w="1805"/>
        <w:gridCol w:w="1444"/>
        <w:gridCol w:w="3069"/>
        <w:gridCol w:w="1264"/>
        <w:gridCol w:w="1444"/>
      </w:tblGrid>
      <w:tr>
        <w:trPr>
          <w:tblHeader w:val="true"/>
        </w:trPr>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CUSTOMER</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REVENUE THEY WERE WORTH</w:t>
            </w:r>
          </w:p>
        </w:tc>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REASON THEY LEFT</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WAS IT IN OUR CONTROL?</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WE CHANGED</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[Price / quality / a person / they closed / they moved / we let them down / we do not know]</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change, or nothing]</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[Reason]</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change]</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[Reason]</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change]</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[Reason]</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change]</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[Reason]</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change]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"we do not know" written more than twice on this page is itself the finding. Build an exit question into E5 customer onboarding checklist, at the follow up step, so you find out at the time instead of at the review.</w:t>
      </w:r>
    </w:p>
    <w:p>
      <w:pPr>
        <w:pStyle w:val="Heading2"/>
      </w:pPr>
      <w:r>
        <w:t>3.3 Concentration</w:t>
      </w:r>
    </w:p>
    <w:tbl>
      <w:tblPr>
        <w:jc w:val="center"/>
        <w:tblLook w:firstColumn="1" w:firstRow="1" w:lastColumn="0" w:lastRow="0" w:noHBand="0" w:noVBand="1" w:val="04A0"/>
        <w:tblW w:w="9025" w:type="dxa"/>
        <w:tblLayout w:type="fixed"/>
      </w:tblPr>
      <w:tblGrid>
        <w:gridCol w:w="2166"/>
        <w:gridCol w:w="1444"/>
        <w:gridCol w:w="1444"/>
        <w:gridCol w:w="1805"/>
        <w:gridCol w:w="2166"/>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CUSTOMER</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REVENUE</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SHARE OF TOTAL REVENUE</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PAYMENT BEHAVIOUR</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HAPPENS IF THEY LEAVE</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[Largest customer]</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[Days they actually take]</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honest answer]</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[Second]</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[Days]</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[Answer]</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[Third]</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[Days]</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[Answer]</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Everyone else</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bl>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Our concentration limit</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No customer above </w:t>
            </w:r>
            <w:r>
              <w:rPr>
                <w:rFonts w:ascii="Open Sans" w:hAnsi="Open Sans"/>
                <w:b w:val="0"/>
                <w:i w:val="0"/>
                <w:color w:val="21759B"/>
                <w:sz w:val="21"/>
              </w:rPr>
              <w:t>[30]</w:t>
            </w:r>
            <w:r>
              <w:rPr>
                <w:rFonts w:ascii="Open Sans" w:hAnsi="Open Sans"/>
                <w:b w:val="0"/>
                <w:i w:val="0"/>
                <w:sz w:val="21"/>
              </w:rPr>
              <w:t xml:space="preserve"> percent of revenue</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Are we inside it?</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[Yes / No]</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If not, what we will do about it this year</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[The specific action, with a name and a date, carried into the action list]</w:t>
            </w:r>
          </w:p>
        </w:tc>
      </w:tr>
    </w:tbl>
    <w:p>
      <w:r>
        <w:br w:type="page"/>
      </w:r>
    </w:p>
    <w:p>
      <w:pPr>
        <w:pStyle w:val="Heading1"/>
      </w:pPr>
      <w:r>
        <w:t>Part 4. Pricing review</w:t>
      </w:r>
    </w:p>
    <w:p>
      <w:pPr>
        <w:spacing w:after="120" w:before="0"/>
      </w:pPr>
      <w:r>
        <w:rPr>
          <w:rFonts w:ascii="Open Sans" w:hAnsi="Open Sans"/>
          <w:b w:val="0"/>
          <w:i w:val="0"/>
          <w:sz w:val="21"/>
        </w:rPr>
        <w:t>Most small businesses go years without a proper price review, and then raise prices in a panic. Review annually, raise deliberately, and tell customers before they find out on an invoice.</w:t>
      </w:r>
    </w:p>
    <w:p>
      <w:pPr>
        <w:pStyle w:val="Heading2"/>
      </w:pPr>
      <w:r>
        <w:t>4.1 What it actually costs you</w:t>
      </w:r>
    </w:p>
    <w:tbl>
      <w:tblPr>
        <w:jc w:val="center"/>
        <w:tblLook w:firstColumn="1" w:firstRow="1" w:lastColumn="0" w:lastRow="0" w:noHBand="0" w:noVBand="1" w:val="04A0"/>
        <w:tblW w:w="9026" w:type="dxa"/>
        <w:tblLayout w:type="fixed"/>
      </w:tblPr>
      <w:tblGrid>
        <w:gridCol w:w="2708"/>
        <w:gridCol w:w="4062"/>
        <w:gridCol w:w="2256"/>
      </w:tblGrid>
      <w:tr>
        <w:trPr>
          <w:tblHeader w:val="true"/>
        </w:trPr>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STEP</w:t>
            </w:r>
          </w:p>
        </w:tc>
        <w:tc>
          <w:tcPr>
            <w:tcW w:type="dxa" w:w="406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TO WORK IT OUT</w:t>
            </w:r>
          </w:p>
        </w:tc>
        <w:tc>
          <w:tcPr>
            <w:tcW w:type="dxa" w:w="225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YOUR FIGURE</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Total operating cost for the year</w:t>
            </w:r>
          </w:p>
        </w:tc>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B7 profit and loss</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Productive hours actually sold in the year</w:t>
            </w:r>
          </w:p>
        </w:tc>
        <w:tc>
          <w:tcPr>
            <w:tcW w:type="dxa" w:w="406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Not hours worked. Hours you were paid for. C1 weekly timesheet</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[hours]</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Cost per productive hour</w:t>
            </w:r>
          </w:p>
        </w:tc>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Operating cost divided by productive hours</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Profit you want on top</w:t>
            </w:r>
          </w:p>
        </w:tc>
        <w:tc>
          <w:tcPr>
            <w:tcW w:type="dxa" w:w="406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As a percentage</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Minimum charge out rate per hour</w:t>
            </w:r>
          </w:p>
        </w:tc>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Cost per hour plus profit</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What you actually charge</w:t>
            </w:r>
          </w:p>
        </w:tc>
        <w:tc>
          <w:tcPr>
            <w:tcW w:type="dxa" w:w="406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Your current rate</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gap</w:t>
            </w:r>
          </w:p>
        </w:tc>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Difference between the two</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r>
              <w:rPr>
                <w:rFonts w:ascii="Open Sans" w:hAnsi="Open Sans"/>
                <w:b w:val="0"/>
                <w:i w:val="0"/>
                <w:sz w:val="18"/>
              </w:rPr>
              <w:t xml:space="preserve"> per hour</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if your productive hours are 60 percent of hours worked, which is normal for a small service business, then quoting at your cost per hour worked prices you below cost before you have made a single mistake. Use hours sold, not hours worked.</w:t>
      </w:r>
    </w:p>
    <w:p>
      <w:pPr>
        <w:pStyle w:val="Heading2"/>
      </w:pPr>
      <w:r>
        <w:t>4.2 Price and margin by product or service</w:t>
      </w:r>
    </w:p>
    <w:tbl>
      <w:tblPr>
        <w:jc w:val="center"/>
        <w:tblLook w:firstColumn="1" w:firstRow="1" w:lastColumn="0" w:lastRow="0" w:noHBand="0" w:noVBand="1" w:val="04A0"/>
        <w:tblW w:w="9026" w:type="dxa"/>
        <w:tblLayout w:type="fixed"/>
      </w:tblPr>
      <w:tblGrid>
        <w:gridCol w:w="2347"/>
        <w:gridCol w:w="1083"/>
        <w:gridCol w:w="993"/>
        <w:gridCol w:w="993"/>
        <w:gridCol w:w="1173"/>
        <w:gridCol w:w="1264"/>
        <w:gridCol w:w="1173"/>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PRODUCT OR SERVICE</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PRICE NOW</w:t>
            </w:r>
          </w:p>
        </w:tc>
        <w:tc>
          <w:tcPr>
            <w:tcW w:type="dxa" w:w="99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COST</w:t>
            </w:r>
          </w:p>
        </w:tc>
        <w:tc>
          <w:tcPr>
            <w:tcW w:type="dxa" w:w="99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MARGIN</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SHARE OF REVENUE</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LAST INCREASED</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NEW PRICE</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[Item or service 1]</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[Month YYYY]</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[Item 2]</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[Month YYYY]</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[Item 3]</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[Month YYYY]</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[Item 4]</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[Month YYYY]</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[Item 5]</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[Month YYYY]</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[Item 6]</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[Month YYYY]</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bl>
    <w:p>
      <w:pPr>
        <w:pStyle w:val="Heading2"/>
      </w:pPr>
      <w:r>
        <w:t>4.3 What has changed underneath your prices</w:t>
      </w:r>
    </w:p>
    <w:tbl>
      <w:tblPr>
        <w:jc w:val="center"/>
        <w:tblLook w:firstColumn="1" w:firstRow="1" w:lastColumn="0" w:lastRow="0" w:noHBand="0" w:noVBand="1" w:val="04A0"/>
        <w:tblW w:w="9027" w:type="dxa"/>
        <w:tblLayout w:type="fixed"/>
      </w:tblPr>
      <w:tblGrid>
        <w:gridCol w:w="2708"/>
        <w:gridCol w:w="1625"/>
        <w:gridCol w:w="1625"/>
        <w:gridCol w:w="3069"/>
      </w:tblGrid>
      <w:tr>
        <w:trPr>
          <w:tblHeader w:val="true"/>
        </w:trPr>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INPUT</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CHANGE OVER THE YEAR</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EFFECT ON YOUR COST</w:t>
            </w:r>
          </w:p>
        </w:tc>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YOU SEE IT</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Materials and stock</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E1 and supplier invoices</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Fuel and transport</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E3 vehicle log book</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Electricity, including backup power</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Municipal account and E4</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Wages, including the national minimum wage increase</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Payroll, and C5 contract of employment</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Rent</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Lease escalation clause</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Insurance</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E4 insurance schedule</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Subscriptions, data and software</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Bank statement</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Finance costs</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Loan statements</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national minimum wage is R 30.23 per ordinary hour from 1 March 2026. If any of your rates are close to it, check them at the same time every year, because a wage increase you did not price for comes straight off your margin.</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rates, thresholds and fees quoted in this template were correct on 09 August 2026. Confirm the current figures on sars.gov.za, cipc.co.za or labour.gov.za before you rely on them.</w:t>
      </w:r>
    </w:p>
    <w:p>
      <w:pPr>
        <w:pStyle w:val="Heading2"/>
      </w:pPr>
      <w:r>
        <w:t>4.4 The pricing decision</w:t>
      </w: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Decision</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[Increase across the board by </w:t>
            </w:r>
            <w:r>
              <w:rPr>
                <w:rFonts w:ascii="Open Sans" w:hAnsi="Open Sans"/>
                <w:b w:val="0"/>
                <w:i w:val="0"/>
                <w:color w:val="21759B"/>
                <w:sz w:val="21"/>
              </w:rPr>
              <w:t>[X]</w:t>
            </w:r>
            <w:r>
              <w:rPr>
                <w:rFonts w:ascii="Open Sans" w:hAnsi="Open Sans"/>
                <w:b w:val="0"/>
                <w:i w:val="0"/>
                <w:sz w:val="21"/>
              </w:rPr>
              <w:t xml:space="preserve"> percent / increase selected items / hold and improve margin by reducing cost]</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Effective from</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Existing customers on quoted work</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[Honour the quoted price until </w:t>
            </w:r>
            <w:r>
              <w:rPr>
                <w:rFonts w:ascii="Open Sans" w:hAnsi="Open Sans"/>
                <w:b w:val="0"/>
                <w:i w:val="0"/>
                <w:color w:val="21759B"/>
                <w:sz w:val="21"/>
              </w:rPr>
              <w:t>[date]</w:t>
            </w:r>
            <w:r>
              <w:rPr>
                <w:rFonts w:ascii="Open Sans" w:hAnsi="Open Sans"/>
                <w:b w:val="0"/>
                <w:i w:val="0"/>
                <w:sz w:val="21"/>
              </w:rPr>
              <w:t>]</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How and when customers are told</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[One short message, </w:t>
            </w:r>
            <w:r>
              <w:rPr>
                <w:rFonts w:ascii="Open Sans" w:hAnsi="Open Sans"/>
                <w:b w:val="0"/>
                <w:i w:val="0"/>
                <w:color w:val="21759B"/>
                <w:sz w:val="21"/>
              </w:rPr>
              <w:t>[X]</w:t>
            </w:r>
            <w:r>
              <w:rPr>
                <w:rFonts w:ascii="Open Sans" w:hAnsi="Open Sans"/>
                <w:b w:val="0"/>
                <w:i w:val="0"/>
                <w:sz w:val="21"/>
              </w:rPr>
              <w:t xml:space="preserve"> weeks before, with the reason in one sentence]</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Which customers we expect to lose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[Names, and whether we mind]</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What we do if a customer objects</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[Hold the price / offer a smaller package / let them go politely]</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Revenue effect if nobody leaves</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R </w:t>
            </w:r>
            <w:r>
              <w:rPr>
                <w:rFonts w:ascii="Open Sans" w:hAnsi="Open Sans"/>
                <w:b w:val="0"/>
                <w:i w:val="0"/>
                <w:color w:val="21759B"/>
                <w:sz w:val="21"/>
              </w:rPr>
              <w:t>[amount]</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 xml:space="preserve">Revenue effect if </w:t>
            </w:r>
            <w:r>
              <w:rPr>
                <w:rFonts w:ascii="Open Sans" w:hAnsi="Open Sans"/>
                <w:b/>
                <w:i w:val="0"/>
                <w:color w:val="21759B"/>
                <w:sz w:val="21"/>
              </w:rPr>
              <w:t>[X]</w:t>
            </w:r>
            <w:r>
              <w:rPr>
                <w:rFonts w:ascii="Open Sans" w:hAnsi="Open Sans"/>
                <w:b/>
                <w:i w:val="0"/>
                <w:sz w:val="21"/>
              </w:rPr>
              <w:t xml:space="preserve"> percent leave</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R </w:t>
            </w:r>
            <w:r>
              <w:rPr>
                <w:rFonts w:ascii="Open Sans" w:hAnsi="Open Sans"/>
                <w:b w:val="0"/>
                <w:i w:val="0"/>
                <w:color w:val="21759B"/>
                <w:sz w:val="21"/>
              </w:rPr>
              <w:t>[amount]</w:t>
            </w:r>
          </w:p>
        </w:tc>
      </w:tr>
    </w:tbl>
    <w:p>
      <w:r>
        <w:br w:type="page"/>
      </w:r>
    </w:p>
    <w:p>
      <w:pPr>
        <w:pStyle w:val="Heading1"/>
      </w:pPr>
      <w:r>
        <w:t>Part 5. The compliance year in review</w:t>
      </w:r>
    </w:p>
    <w:p>
      <w:pPr>
        <w:spacing w:after="120" w:before="0"/>
      </w:pPr>
      <w:r>
        <w:rPr>
          <w:rFonts w:ascii="Open Sans" w:hAnsi="Open Sans"/>
          <w:b w:val="0"/>
          <w:i w:val="0"/>
          <w:sz w:val="21"/>
        </w:rPr>
        <w:t>Work down this list once a year and you will not be the business that discovers in October that it was deregistered in March. Mark each item done, due or overdue, and put every overdue one on the action list with a name and a date.</w:t>
      </w:r>
    </w:p>
    <w:p>
      <w:pPr>
        <w:pStyle w:val="Heading2"/>
      </w:pPr>
      <w:r>
        <w:t>5.1 CIPC: your company registration</w:t>
      </w:r>
    </w:p>
    <w:tbl>
      <w:tblPr>
        <w:jc w:val="center"/>
        <w:tblLook w:firstColumn="1" w:firstRow="1" w:lastColumn="0" w:lastRow="0" w:noHBand="0" w:noVBand="1" w:val="04A0"/>
        <w:tblW w:w="9025" w:type="dxa"/>
        <w:tblLayout w:type="fixed"/>
      </w:tblPr>
      <w:tblGrid>
        <w:gridCol w:w="1444"/>
        <w:gridCol w:w="2166"/>
        <w:gridCol w:w="2708"/>
        <w:gridCol w:w="1534"/>
        <w:gridCol w:w="1173"/>
      </w:tblGrid>
      <w:tr>
        <w:trPr>
          <w:tblHeader w:val="true"/>
        </w:trPr>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ITEM</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WHEN IT IS DUE</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HAPPENS IF YOU MISS IT</w:t>
            </w:r>
          </w:p>
        </w:tc>
        <w:tc>
          <w:tcPr>
            <w:tcW w:type="dxa" w:w="153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IT IS DONE</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STATUS</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Annual return</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 company: within 30 business days after the anniversary of its incorporation. A close corporation: within two months from the beginning of the month of its anniversary of registration. Due whether or not you traded.</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 higher late lodgement fee. If annual returns are outstanding for two or more successive years, CIPC may deregister the entity, which withdraws its juristic personality and vests its assets in the state until it is reinstated.</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CIPC eServices, on the annual returns portal</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[Done / Due / Overdue]</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Beneficial ownership declaration</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Filed together with the annual return. A newly incorporated entity files within 10 business days after incorporation, and any change in beneficial ownership within 10 business days of the change.</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Since 1 July 2024 CIPC applies a hard stop: the annual return cannot be filed at all unless the beneficial ownership declaration is filed with it. Beyond that, a compliance notice, and an administrative fine of up to the greater of 10 percent of turnover during the period of non-compliance or R 1 000 000.</w:t>
            </w: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CIPC beneficial ownership portal</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[Done / Due / Overdue]</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Annual return fee</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Paid with the return. R 100 for a company with turnover under R 1 million, filed on time.</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late fee is higher, and the return is not accepted until it is paid.</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CIPC eServices</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[Done / Due / Overdue]</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Financial accountability supplement or annual financial statements</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Filed with the annual return.</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return is incomplete.</w:t>
            </w: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CIPC eServices</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[Done / Due / Overdue]</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Director, address and contact details</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Whenever they change, and confirmed at the annual return.</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CIPC notices, including deregistration warnings, go to an address you no longer use.</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CIPC eServices</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[Done / Due / Overdue]</w:t>
            </w:r>
          </w:p>
        </w:tc>
      </w:tr>
    </w:tbl>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Our incorporation anniversary date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Annual return filed on</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Beneficial ownership filed on</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Registered address currently on record</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[Address. Is it still correct?]</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Directors or members currently on record</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[Names. Are they still correct?]</w:t>
            </w:r>
          </w:p>
        </w:tc>
      </w:tr>
    </w:tbl>
    <w:p>
      <w:pPr>
        <w:pStyle w:val="Heading2"/>
      </w:pPr>
      <w:r>
        <w:t>5.2 SARS</w:t>
      </w:r>
    </w:p>
    <w:tbl>
      <w:tblPr>
        <w:jc w:val="center"/>
        <w:tblLook w:firstColumn="1" w:firstRow="1" w:lastColumn="0" w:lastRow="0" w:noHBand="0" w:noVBand="1" w:val="04A0"/>
        <w:tblW w:w="9025" w:type="dxa"/>
        <w:tblLayout w:type="fixed"/>
      </w:tblPr>
      <w:tblGrid>
        <w:gridCol w:w="1444"/>
        <w:gridCol w:w="2256"/>
        <w:gridCol w:w="2527"/>
        <w:gridCol w:w="1625"/>
        <w:gridCol w:w="1173"/>
      </w:tblGrid>
      <w:tr>
        <w:trPr>
          <w:tblHeader w:val="true"/>
        </w:trPr>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ITEM</w:t>
            </w:r>
          </w:p>
        </w:tc>
        <w:tc>
          <w:tcPr>
            <w:tcW w:type="dxa" w:w="225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WHEN IT IS DUE</w:t>
            </w:r>
          </w:p>
        </w:tc>
        <w:tc>
          <w:tcPr>
            <w:tcW w:type="dxa" w:w="252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HAPPENS IF YOU MISS IT</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IT IS DONE</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STATUS</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Company income tax return (ITR14)</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SARS publishes the filing season dates each year. Check the current season on eFiling and write the date here: </w:t>
            </w:r>
            <w:r>
              <w:rPr>
                <w:rFonts w:ascii="Open Sans" w:hAnsi="Open Sans"/>
                <w:b w:val="0"/>
                <w:i w:val="0"/>
                <w:color w:val="21759B"/>
                <w:sz w:val="17"/>
              </w:rPr>
              <w:t>[due date for this year]</w:t>
            </w:r>
            <w:r>
              <w:rPr>
                <w:rFonts w:ascii="Open Sans" w:hAnsi="Open Sans"/>
                <w:b w:val="0"/>
                <w:i w:val="0"/>
                <w:sz w:val="17"/>
              </w:rPr>
              <w:t>.</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Administrative penalties, interest, and a compliance status that fails when a customer verifies it.</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SARS eFiling</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[Done / Due / Overdue]</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Provisional tax, first period (IRP6)</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Within six months of the start of the year of assessment, which is 31 August for a February year end.</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 10 percent late payment penalty, and interest.</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SARS eFiling</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[Done / Due / Overdue]</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Provisional tax, second period (IRP6)</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On or before the last day of the year of assessment, which is 28 or 29 February.</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 20 percent underestimation penalty if the estimate is too low, plus the late payment penalty and interest.</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SARS eFiling</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[Done / Due / Overdue]</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Provisional tax, third or top up payment</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Voluntary. 30 September for a February year end, which is within six months after year end.</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Nothing directly, but interest under section 89quat runs on any shortfall from that date.</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SARS eFiling</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[Done / Due / Overdue]</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VAT returns (VAT201), if you are registered</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On the due date shown on eFiling for your VAT category.</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Penalties and interest, and input tax claims held up.</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SARS eFiling</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[Done / Due / Overdue]</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Monthly employer declaration (EMP201), if you have staff</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By the 7th of the following month, covering PAYE, UIF and SDL.</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Penalties and interest, and the employees' tax certificates will not reconcile.</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SARS eFiling</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[Done / Due / Overdue]</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Employer reconciliation (EMP501) and IRP5 certificates</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SARS runs the reconciliation periods on published dates each year. Check the current dates and write them here: </w:t>
            </w:r>
            <w:r>
              <w:rPr>
                <w:rFonts w:ascii="Open Sans" w:hAnsi="Open Sans"/>
                <w:b w:val="0"/>
                <w:i w:val="0"/>
                <w:color w:val="21759B"/>
                <w:sz w:val="17"/>
              </w:rPr>
              <w:t>[dates]</w:t>
            </w:r>
            <w:r>
              <w:rPr>
                <w:rFonts w:ascii="Open Sans" w:hAnsi="Open Sans"/>
                <w:b w:val="0"/>
                <w:i w:val="0"/>
                <w:sz w:val="17"/>
              </w:rPr>
              <w:t>.</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Penalties, and employees cannot file their own returns.</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SARS e@syFile and eFiling</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[Done / Due / Overdue]</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VAT registration threshold check</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Check at every review. Registration is compulsory once taxable supplies pass R 2 300 000 in any consecutive 12 month period, and voluntary from R 120 000.</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Trading above the threshold without registering means SARS can assess the VAT you should have charged, out of your own margin.</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SARS eFiling. See A7 SARS registration checklist and G2</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[Done / Due / Overdue]</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Tax Compliance Status PIN</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Whenever a customer, funder or tender requires it. The status is live, so it reflects your position at the moment it is verified.</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You lose the work. The paper tax clearance certificate no longer exists.</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SARS eFiling, under Tax Status</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[Done / Due / Overdue]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company income tax is 27 percent, and VAT is 15 percent. If you are not registered for VAT, do not show VAT on any document you issue.</w:t>
      </w:r>
    </w:p>
    <w:p>
      <w:pPr>
        <w:pStyle w:val="Heading2"/>
      </w:pPr>
      <w:r>
        <w:t>5.3 Employment and COIDA</w:t>
      </w:r>
    </w:p>
    <w:tbl>
      <w:tblPr>
        <w:jc w:val="center"/>
        <w:tblLook w:firstColumn="1" w:firstRow="1" w:lastColumn="0" w:lastRow="0" w:noHBand="0" w:noVBand="1" w:val="04A0"/>
        <w:tblW w:w="9026" w:type="dxa"/>
        <w:tblLayout w:type="fixed"/>
      </w:tblPr>
      <w:tblGrid>
        <w:gridCol w:w="1444"/>
        <w:gridCol w:w="2437"/>
        <w:gridCol w:w="2347"/>
        <w:gridCol w:w="1625"/>
        <w:gridCol w:w="1173"/>
      </w:tblGrid>
      <w:tr>
        <w:trPr>
          <w:tblHeader w:val="true"/>
        </w:trPr>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ITEM</w:t>
            </w:r>
          </w:p>
        </w:tc>
        <w:tc>
          <w:tcPr>
            <w:tcW w:type="dxa" w:w="243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WHEN IT IS DUE</w:t>
            </w:r>
          </w:p>
        </w:tc>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HAPPENS IF YOU MISS IT</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IT IS DONE</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STATUS</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COIDA registration</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Within 7 days of employing your first employee. Every employer with one or more employees must register, including a household that employs a domestic worker.</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You carry the cost of a workplace injury yourself, and you cannot get a letter of good standing.</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Compensation Fund, form W.As.2, or through the BizPortal bundle</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[Done / Due / Overdue]</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Return of Earnings (W.As.8)</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The statutory date is 31 March, reporting actual earnings for the year to the end of February and an estimate for the coming year. The Compensation Fund has extended the filing season by notice in recent years, so check the current season notice and write the closing date here: </w:t>
            </w:r>
            <w:r>
              <w:rPr>
                <w:rFonts w:ascii="Open Sans" w:hAnsi="Open Sans"/>
                <w:b w:val="0"/>
                <w:i w:val="0"/>
                <w:color w:val="21759B"/>
                <w:sz w:val="17"/>
              </w:rPr>
              <w:t>[current season closing date]</w:t>
            </w:r>
            <w:r>
              <w:rPr>
                <w:rFonts w:ascii="Open Sans" w:hAnsi="Open Sans"/>
                <w:b w:val="0"/>
                <w:i w:val="0"/>
                <w:sz w:val="17"/>
              </w:rPr>
              <w:t>.</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Penalties, and no letter of good standing, which stops tenders and subcontract work.</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CF-Filing online submissions</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[Done / Due / Overdue]</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Letter of good standing</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Renew by 30 April each year, whatever date the previous one was issued on. Many principals also want one issued within the last 30 to 90 days.</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You are removed from supplier lists and cannot start on most sites.</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Department of Employment and Labour online service, or CompEasy</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[Done / Due / Overdue]</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Assessment payment</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As assessed. The assessment is your total annual earnings divided by 100, times the tariff for your industry class, subject to a minimum.</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 letter of good standing until you are paid up or on an approved arrangement.</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Compensation Fund</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[Done / Due / Overdue]</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UIF declarations</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Monthly. Contributions go to SARS on the EMP201, and the declaration of employees goes to the Department of Employment and Labour.</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An employee who is retrenched or goes on parental leave cannot claim, which becomes your problem.</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SARS eFiling and uFiling</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[Done / Due / Overdue]</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Employment contracts current</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Check annually and whenever the law changes.</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 contract that misstates leave, notice or parental leave is unenforceable in the part that is wrong, and is evidence against you at the CCMA.</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C5 contract of employment</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[Done / Due / Overdue]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Compensation Fund changed its banking details in August 2025. A payment made to the old account is not credited, and the account shows as unpaid, which blocks the letter of good standing. Confirm the current banking details on the Fund's own site before you pay.</w:t>
      </w:r>
    </w:p>
    <w:p>
      <w:pPr>
        <w:pStyle w:val="Heading2"/>
      </w:pPr>
      <w:r>
        <w:t>5.4 B-BBEE, insurance, licences and data</w:t>
      </w:r>
    </w:p>
    <w:tbl>
      <w:tblPr>
        <w:jc w:val="center"/>
        <w:tblLook w:firstColumn="1" w:firstRow="1" w:lastColumn="0" w:lastRow="0" w:noHBand="0" w:noVBand="1" w:val="04A0"/>
        <w:tblW w:w="9025" w:type="dxa"/>
        <w:tblLayout w:type="fixed"/>
      </w:tblPr>
      <w:tblGrid>
        <w:gridCol w:w="1534"/>
        <w:gridCol w:w="2437"/>
        <w:gridCol w:w="2166"/>
        <w:gridCol w:w="1715"/>
        <w:gridCol w:w="1173"/>
      </w:tblGrid>
      <w:tr>
        <w:trPr>
          <w:tblHeader w:val="true"/>
        </w:trPr>
        <w:tc>
          <w:tcPr>
            <w:tcW w:type="dxa" w:w="153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ITEM</w:t>
            </w:r>
          </w:p>
        </w:tc>
        <w:tc>
          <w:tcPr>
            <w:tcW w:type="dxa" w:w="243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WHEN IT IS DUE</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HAPPENS IF YOU MISS IT</w:t>
            </w:r>
          </w:p>
        </w:tc>
        <w:tc>
          <w:tcPr>
            <w:tcW w:type="dxa" w:w="171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IT IS DONE</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STATUS</w:t>
            </w:r>
          </w:p>
        </w:tc>
      </w:tr>
      <w:tr>
        <w:trPr>
          <w:cantSplit/>
        </w:trPr>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B-BBEE affidavit or certificate</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An affidavit is valid for a fixed period from the date it is commissioned, commonly stated as 12 months, and it cannot be renewed: a fresh affidavit is executed each year, normally after the financial year end. Confirm the current validity period before you rely on it: [validity confirmed on </w:t>
            </w:r>
            <w:r>
              <w:rPr>
                <w:rFonts w:ascii="Open Sans" w:hAnsi="Open Sans"/>
                <w:b w:val="0"/>
                <w:i w:val="0"/>
                <w:color w:val="21759B"/>
                <w:sz w:val="17"/>
              </w:rPr>
              <w:t>[DD Month YYYY]</w:t>
            </w:r>
            <w:r>
              <w:rPr>
                <w:rFonts w:ascii="Open Sans" w:hAnsi="Open Sans"/>
                <w:b w:val="0"/>
                <w:i w:val="0"/>
                <w:sz w:val="17"/>
              </w:rPr>
              <w:t>].</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Customers cannot claim their procurement recognition from spend with you, so you lose the work to a supplier who has one.</w:t>
            </w: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Sworn before a Commissioner of Oaths who is not an employee, director or member of your business. See G7 B-BBEE affidavit</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[Done / Due / Overdue]</w:t>
            </w:r>
          </w:p>
        </w:tc>
      </w:tr>
      <w:tr>
        <w:trPr>
          <w:cantSplit/>
        </w:trPr>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Turnover figure used on the affidavit</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Must be the Total Revenue for the latest completed financial year, not a projection. Recalculate it at this review.</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An affidavit with the wrong revenue figure is worthless and can be challenged.</w:t>
            </w:r>
          </w:p>
        </w:tc>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B7 profit and loss, and G4 B-BBEE scorecard</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[Done / Due / Overdue]</w:t>
            </w:r>
          </w:p>
        </w:tc>
      </w:tr>
      <w:tr>
        <w:trPr>
          <w:cantSplit/>
        </w:trPr>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Insurance renewal</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[Renewal date from your policy schedule]</w:t>
            </w:r>
            <w:r>
              <w:rPr>
                <w:rFonts w:ascii="Open Sans" w:hAnsi="Open Sans"/>
                <w:b w:val="0"/>
                <w:i w:val="0"/>
                <w:sz w:val="17"/>
              </w:rPr>
              <w:t>.</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 lapsed policy, or cover that has not kept up with what the business now owns.</w:t>
            </w: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Your broker. Complete the insurance schedule in E4</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[Done / Due / Overdue]</w:t>
            </w:r>
          </w:p>
        </w:tc>
      </w:tr>
      <w:tr>
        <w:trPr>
          <w:cantSplit/>
        </w:trPr>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Sums insured checked against replacement cost</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Every year at renewal.</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Under insurance, which can reduce what a claim pays. Ask your broker whether an average clause applies.</w:t>
            </w:r>
          </w:p>
        </w:tc>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Your broker, with your asset register</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[Done / Due / Overdue]</w:t>
            </w:r>
          </w:p>
        </w:tc>
      </w:tr>
      <w:tr>
        <w:trPr>
          <w:cantSplit/>
        </w:trPr>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Sasria coupon checked section by section</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Every year at renewal. Sasria covers physical damage from riot, strike and civil commotion, it is bought as a coupon issued by your own insurer or broker, and it attaches per section.</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You find out at claim stage that the coupon was on the building and not on the stock, the vehicles or the business interruption cover.</w:t>
            </w: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Your broker. Complete the section by section table in E4, Risk 4</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[Done / Due / Overdue]</w:t>
            </w:r>
          </w:p>
        </w:tc>
      </w:tr>
      <w:tr>
        <w:trPr>
          <w:cantSplit/>
        </w:trPr>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Record retention and destruction</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Once a year. Tax records five years from the date the return was submitted, company records seven years, employee files five years after termination as the practical rule, and personal information only for as long as you need it.</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Keeping everything forever breaches POPIA section 14. Deleting everything after three years breaches the Tax Administration Act and the Companies Act.</w:t>
            </w:r>
          </w:p>
        </w:tc>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Your own filing. Use the retention schedule in E4</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[Done / Due / Overdue]</w:t>
            </w:r>
          </w:p>
        </w:tc>
      </w:tr>
      <w:tr>
        <w:trPr>
          <w:cantSplit/>
        </w:trPr>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Municipal business licence or trading permit</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[Your renewal date]</w:t>
            </w:r>
            <w:r>
              <w:rPr>
                <w:rFonts w:ascii="Open Sans" w:hAnsi="Open Sans"/>
                <w:b w:val="0"/>
                <w:i w:val="0"/>
                <w:sz w:val="17"/>
              </w:rPr>
              <w:t>.</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 fine, or closure of the premises.</w:t>
            </w: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[Your municipality's licensing office]</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[Done / Due / Overdue]</w:t>
            </w:r>
          </w:p>
        </w:tc>
      </w:tr>
      <w:tr>
        <w:trPr>
          <w:cantSplit/>
        </w:trPr>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Health, food or certificate of acceptability</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[Your renewal date, if you handle food]</w:t>
            </w:r>
            <w:r>
              <w:rPr>
                <w:rFonts w:ascii="Open Sans" w:hAnsi="Open Sans"/>
                <w:b w:val="0"/>
                <w:i w:val="0"/>
                <w:sz w:val="17"/>
              </w:rPr>
              <w:t>.</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Closure by the environmental health officer, at no notice.</w:t>
            </w:r>
          </w:p>
        </w:tc>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[Municipal environmental health department]</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[Done / Due / Overdue]</w:t>
            </w:r>
          </w:p>
        </w:tc>
      </w:tr>
      <w:tr>
        <w:trPr>
          <w:cantSplit/>
        </w:trPr>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Liquor, gaming, transport or professional licence</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[Your renewal date]</w:t>
            </w:r>
            <w:r>
              <w:rPr>
                <w:rFonts w:ascii="Open Sans" w:hAnsi="Open Sans"/>
                <w:b w:val="0"/>
                <w:i w:val="0"/>
                <w:sz w:val="17"/>
              </w:rPr>
              <w:t>.</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Trading unlawfully, and in some cases a criminal offence.</w:t>
            </w: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[The relevant regulator]</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[Done / Due / Overdue]</w:t>
            </w:r>
          </w:p>
        </w:tc>
      </w:tr>
      <w:tr>
        <w:trPr>
          <w:cantSplit/>
        </w:trPr>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Vehicle licence discs and roadworthy</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[Renewal month for each vehicle]</w:t>
            </w:r>
            <w:r>
              <w:rPr>
                <w:rFonts w:ascii="Open Sans" w:hAnsi="Open Sans"/>
                <w:b w:val="0"/>
                <w:i w:val="0"/>
                <w:sz w:val="17"/>
              </w:rPr>
              <w:t>.</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Fines, and an insurance claim that can be disputed.</w:t>
            </w:r>
          </w:p>
        </w:tc>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[Licensing department]</w:t>
            </w:r>
            <w:r>
              <w:rPr>
                <w:rFonts w:ascii="Open Sans" w:hAnsi="Open Sans"/>
                <w:b w:val="0"/>
                <w:i w:val="0"/>
                <w:sz w:val="17"/>
              </w:rPr>
              <w:t>. Track in E3 vehicle log book</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[Done / Due / Overdue]</w:t>
            </w:r>
          </w:p>
        </w:tc>
      </w:tr>
      <w:tr>
        <w:trPr>
          <w:cantSplit/>
        </w:trPr>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Information officer registered with the Information Regulator</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Registration is compulsory. No fixed registration deadline has been gazetted, but the Regulator raises non-registration in investigations.</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 compliance failure, and it is the first thing asked about after a data breach.</w:t>
            </w: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Information Regulator's registration portal</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[Done / Due / Overdue]</w:t>
            </w:r>
          </w:p>
        </w:tc>
      </w:tr>
      <w:tr>
        <w:trPr>
          <w:cantSplit/>
        </w:trPr>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Privacy notice and PAIA manual</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Reviewed annually and whenever what you collect changes.</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 POPIA complaint you cannot answer.</w:t>
            </w:r>
          </w:p>
        </w:tc>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Your own documents. See E5 customer onboarding checklist</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[Done / Due / Overdue]</w:t>
            </w:r>
          </w:p>
        </w:tc>
      </w:tr>
      <w:tr>
        <w:trPr>
          <w:cantSplit/>
        </w:trPr>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Annual financial statements prepared</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Within six months of financial year end. Whether an audit or an independent review is needed depends on your public interest score, and a company in which every holder of securities is also a director is exempt from both unless something else requires it.</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You cannot file at CIPC, apply for finance or answer SARS properly.</w:t>
            </w: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Your accountant</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[Done / Due / Overdue]</w:t>
            </w:r>
          </w:p>
        </w:tc>
      </w:tr>
      <w:tr>
        <w:trPr>
          <w:cantSplit/>
        </w:trPr>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Domain, trade mark and subscription renewals</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[Renewal dates]</w:t>
            </w:r>
            <w:r>
              <w:rPr>
                <w:rFonts w:ascii="Open Sans" w:hAnsi="Open Sans"/>
                <w:b w:val="0"/>
                <w:i w:val="0"/>
                <w:sz w:val="17"/>
              </w:rPr>
              <w:t>.</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Losing a domain name or a trade mark is expensive and sometimes permanent.</w:t>
            </w:r>
          </w:p>
        </w:tc>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[Registrar, and CIPC trade marks office]</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[Done / Due / Overdue]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rates, thresholds and fees quoted in this template were correct on 09 August 2026. Confirm the current figures on sars.gov.za, cipc.co.za or labour.gov.za before you rely on them.</w:t>
      </w:r>
    </w:p>
    <w:p>
      <w:pPr>
        <w:pStyle w:val="Heading2"/>
      </w:pPr>
      <w:r>
        <w:t>5.5 Compliance calendar for the year ahead</w:t>
      </w:r>
    </w:p>
    <w:p>
      <w:pPr>
        <w:spacing w:after="120" w:before="0"/>
      </w:pPr>
      <w:r>
        <w:rPr>
          <w:rFonts w:ascii="Open Sans" w:hAnsi="Open Sans"/>
          <w:b w:val="0"/>
          <w:i w:val="0"/>
          <w:sz w:val="21"/>
        </w:rPr>
        <w:t>Take every date from the tables above and put it here, then put it in your phone calendar with a reminder two weeks early. A compliance calendar that lives only in this document is a compliance calendar you will not see again until next year.</w:t>
      </w:r>
    </w:p>
    <w:tbl>
      <w:tblPr>
        <w:jc w:val="center"/>
        <w:tblLook w:firstColumn="1" w:firstRow="1" w:lastColumn="0" w:lastRow="0" w:noHBand="0" w:noVBand="1" w:val="04A0"/>
        <w:tblW w:w="9026" w:type="dxa"/>
        <w:tblLayout w:type="fixed"/>
      </w:tblPr>
      <w:tblGrid>
        <w:gridCol w:w="1264"/>
        <w:gridCol w:w="4874"/>
        <w:gridCol w:w="1805"/>
        <w:gridCol w:w="1083"/>
      </w:tblGrid>
      <w:tr>
        <w:trPr>
          <w:tblHeader w:val="true"/>
        </w:trPr>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MONTH</w:t>
            </w:r>
          </w:p>
        </w:tc>
        <w:tc>
          <w:tcPr>
            <w:tcW w:type="dxa" w:w="487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IS DUE</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 DOES IT</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REMINDER SET</w:t>
            </w:r>
          </w:p>
        </w:tc>
      </w:tr>
      <w:tr>
        <w:trPr>
          <w:cantSplit/>
        </w:trPr>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[January]</w:t>
            </w:r>
          </w:p>
        </w:tc>
        <w:tc>
          <w:tcPr>
            <w:tcW w:type="dxa" w:w="487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[Item]</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[February]</w:t>
            </w:r>
          </w:p>
        </w:tc>
        <w:tc>
          <w:tcPr>
            <w:tcW w:type="dxa" w:w="487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[Provisional tax second period, year end]</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[March]</w:t>
            </w:r>
          </w:p>
        </w:tc>
        <w:tc>
          <w:tcPr>
            <w:tcW w:type="dxa" w:w="487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[Return of Earnings, payroll year end]</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[April]</w:t>
            </w:r>
          </w:p>
        </w:tc>
        <w:tc>
          <w:tcPr>
            <w:tcW w:type="dxa" w:w="487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[Letter of good standing renewal]</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[May]</w:t>
            </w:r>
          </w:p>
        </w:tc>
        <w:tc>
          <w:tcPr>
            <w:tcW w:type="dxa" w:w="487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[Item]</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[June]</w:t>
            </w:r>
          </w:p>
        </w:tc>
        <w:tc>
          <w:tcPr>
            <w:tcW w:type="dxa" w:w="487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[Item]</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[July]</w:t>
            </w:r>
          </w:p>
        </w:tc>
        <w:tc>
          <w:tcPr>
            <w:tcW w:type="dxa" w:w="487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[Item]</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[August]</w:t>
            </w:r>
          </w:p>
        </w:tc>
        <w:tc>
          <w:tcPr>
            <w:tcW w:type="dxa" w:w="487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[Provisional tax first period]</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[September]</w:t>
            </w:r>
          </w:p>
        </w:tc>
        <w:tc>
          <w:tcPr>
            <w:tcW w:type="dxa" w:w="487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[Voluntary top up payment]</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[October]</w:t>
            </w:r>
          </w:p>
        </w:tc>
        <w:tc>
          <w:tcPr>
            <w:tcW w:type="dxa" w:w="487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[Item]</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[November]</w:t>
            </w:r>
          </w:p>
        </w:tc>
        <w:tc>
          <w:tcPr>
            <w:tcW w:type="dxa" w:w="487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[Item]</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[December]</w:t>
            </w:r>
          </w:p>
        </w:tc>
        <w:tc>
          <w:tcPr>
            <w:tcW w:type="dxa" w:w="487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[Item]</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bl>
    <w:p>
      <w:r>
        <w:br w:type="page"/>
      </w:r>
    </w:p>
    <w:p>
      <w:pPr>
        <w:pStyle w:val="Heading1"/>
      </w:pPr>
      <w:r>
        <w:t>Part 6. Staff review</w:t>
      </w:r>
    </w:p>
    <w:p>
      <w:pPr>
        <w:spacing w:after="120" w:before="0"/>
      </w:pPr>
      <w:r>
        <w:rPr>
          <w:rFonts w:ascii="Open Sans" w:hAnsi="Open Sans"/>
          <w:b w:val="0"/>
          <w:i w:val="0"/>
          <w:sz w:val="21"/>
        </w:rPr>
        <w:t>This is a review of how the business employs people, not a review of any individual. Individual performance belongs in C7 employee performance review, and conduct belongs in C8 disciplinary hearing record.</w:t>
      </w:r>
    </w:p>
    <w:tbl>
      <w:tblPr>
        <w:jc w:val="center"/>
        <w:tblLook w:firstColumn="1" w:firstRow="1" w:lastColumn="0" w:lastRow="0" w:noHBand="0" w:noVBand="1" w:val="04A0"/>
        <w:tblW w:w="9026" w:type="dxa"/>
        <w:tblLayout w:type="fixed"/>
      </w:tblPr>
      <w:tblGrid>
        <w:gridCol w:w="2527"/>
        <w:gridCol w:w="2708"/>
        <w:gridCol w:w="1805"/>
        <w:gridCol w:w="1986"/>
      </w:tblGrid>
      <w:tr>
        <w:trPr>
          <w:tblHeader w:val="true"/>
        </w:trPr>
        <w:tc>
          <w:tcPr>
            <w:tcW w:type="dxa" w:w="252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QUESTION</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TO CHECK</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ANSWER</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ACTION</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How many people did we employ, and how did that change?</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Your staff list</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w:t>
            </w:r>
            <w:r>
              <w:rPr>
                <w:rFonts w:ascii="Open Sans" w:hAnsi="Open Sans"/>
                <w:b w:val="0"/>
                <w:i w:val="0"/>
                <w:sz w:val="18"/>
              </w:rPr>
              <w:t xml:space="preserve">, from </w:t>
            </w:r>
            <w:r>
              <w:rPr>
                <w:rFonts w:ascii="Open Sans" w:hAnsi="Open Sans"/>
                <w:b w:val="0"/>
                <w:i w:val="0"/>
                <w:color w:val="21759B"/>
                <w:sz w:val="18"/>
              </w:rPr>
              <w:t>[X]</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r>
      <w:tr>
        <w:trPr>
          <w:cantSplit/>
        </w:trPr>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What did people cost us in total, including UIF, SDL and COIDA?</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B7</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Is every employee on a written contract that matches what they actually do?</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C5 contract of employment and C6 job description</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r>
      <w:tr>
        <w:trPr>
          <w:cantSplit/>
        </w:trPr>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Is anyone paid below the national minimum wage for their ordinary hours?</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Payroll, at R 30.23 per ordinary hour from 1 March 2026</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Are leave balances correct and taken?</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C3 leave application form. Annual leave is 21 consecutive days a cycle, which is 15 working days on a five day week, and it must be taken within six months of the end of the cycle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r>
      <w:tr>
        <w:trPr>
          <w:cantSplit/>
        </w:trPr>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Do we have a large untaken leave liability?</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Payroll and B11 balance sheet</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Are we registered and up to date for UIF, SDL where it applies, and COIDA?</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A7 SARS registration checklist. SDL only applies once payroll exceeds R 500 000 a year</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r>
      <w:tr>
        <w:trPr>
          <w:cantSplit/>
        </w:trPr>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Did we do a performance conversation with everyone this year?</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C7</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What training happened, and what did it change?</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Your records</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r>
      <w:tr>
        <w:trPr>
          <w:cantSplit/>
        </w:trPr>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Who left, and why?</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Exit conversations</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[Names and reasons]</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Who is at risk of leaving, and what would it cost us?</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Your judgement</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[Names]</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r>
      <w:tr>
        <w:trPr>
          <w:cantSplit/>
        </w:trPr>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Who could take on more, and what is stopping them?</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Your judgement</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[Names]</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Is anyone doing a job only they can do?</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E4 business continuity plan, Risk 8</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[Names]</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[Cross train, by a date]</w:t>
            </w:r>
          </w:p>
        </w:tc>
      </w:tr>
      <w:tr>
        <w:trPr>
          <w:cantSplit/>
        </w:trPr>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Are independent contractors genuinely contractors?</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D3 independent contractor agreement, and its misclassification checklist</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check the contractor question properly every year. If a person works only for you, under your control, on your hours, with your tools, the law is likely to treat them as an employee whatever the contract says, and the arrear UIF, PAYE and leave land on you, not on them.</w:t>
      </w:r>
    </w:p>
    <w:p>
      <w:pPr>
        <w:pStyle w:val="Heading1"/>
      </w:pPr>
      <w:r>
        <w:t>Part 7. Systems and operations</w:t>
      </w:r>
    </w:p>
    <w:tbl>
      <w:tblPr>
        <w:jc w:val="center"/>
        <w:tblLook w:firstColumn="1" w:firstRow="1" w:lastColumn="0" w:lastRow="0" w:noHBand="0" w:noVBand="1" w:val="04A0"/>
        <w:tblW w:w="9026" w:type="dxa"/>
        <w:tblLayout w:type="fixed"/>
      </w:tblPr>
      <w:tblGrid>
        <w:gridCol w:w="1444"/>
        <w:gridCol w:w="2888"/>
        <w:gridCol w:w="1625"/>
        <w:gridCol w:w="1444"/>
        <w:gridCol w:w="1625"/>
      </w:tblGrid>
      <w:tr>
        <w:trPr>
          <w:tblHeader w:val="true"/>
        </w:trPr>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AREA</w:t>
            </w:r>
          </w:p>
        </w:tc>
        <w:tc>
          <w:tcPr>
            <w:tcW w:type="dxa" w:w="288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QUESTION</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TO CHECK</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ANSWER</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ACTION</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Quoting and invoicing</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How long from finishing the work to sending the invoice?</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B5, B6</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[Days]</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Collections</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How many invoices went past 60 days, and what did that cost in interest and time?</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B3 billing statement</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Onboarding</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Did we follow the onboarding process for every new customer?</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E5</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Stock</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How accurate was the last count against the system?</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E1 stock sheet and inventory tracker</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Stock</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What did we write off as damaged, expired or missing?</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E1</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Suppliers</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Which suppliers scored worst, and do we still use them?</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E6</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[Names]</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Suppliers</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Which inputs still have only one source?</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E4, Risk 10</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[List]</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[Find a second source]</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Vehicles</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Cost per kilometre, and is the vehicle still the right one?</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E3</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Equipment</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What broke this year, what did it cost, and what is next?</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Your maintenance record</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[List]</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Backups</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When did we last restore a file from backup and open it?</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E4 restore test log</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[Test it now]</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Power and water</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Hours lost, and what it cost</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E4 incident log</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w:t>
            </w:r>
            <w:r>
              <w:rPr>
                <w:rFonts w:ascii="Open Sans" w:hAnsi="Open Sans"/>
                <w:b w:val="0"/>
                <w:i w:val="0"/>
                <w:sz w:val="18"/>
              </w:rPr>
              <w:t xml:space="preserve"> hours, R </w:t>
            </w:r>
            <w:r>
              <w:rPr>
                <w:rFonts w:ascii="Open Sans" w:hAnsi="Open Sans"/>
                <w:b w:val="0"/>
                <w:i w:val="0"/>
                <w:color w:val="21759B"/>
                <w:sz w:val="18"/>
              </w:rPr>
              <w:t>[amount]</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Premises</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Is the lease still right, and when does it end?</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Your lease</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[Date]</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Software and subscriptions</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What are we paying for monthly that nobody uses?</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Bank statement, line by line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[Cancel it]</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Record keeping</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Can we produce any invoice from five years ago in five minutes? That is how long the Tax Administration Act requires tax records to be kept, running from the date the return was submitted</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Your filing</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Record keeping</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Did we destroy what has aged out, or are we keeping everything forever? POPIA requires destruction once the reason for holding it has gone</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E4 retention schedule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go through twelve months of bank statements line by line once a year. Almost every small business finds at least one subscription, insurance policy or debit order it forgot about. It is the highest paid hour in this review.</w:t>
      </w:r>
    </w:p>
    <w:p>
      <w:pPr>
        <w:pStyle w:val="Heading1"/>
      </w:pPr>
      <w:r>
        <w:t>Part 8. Risks that changed</w:t>
      </w:r>
    </w:p>
    <w:p>
      <w:pPr>
        <w:spacing w:after="120" w:before="0"/>
      </w:pPr>
      <w:r>
        <w:rPr>
          <w:rFonts w:ascii="Open Sans" w:hAnsi="Open Sans"/>
          <w:b w:val="0"/>
          <w:i w:val="0"/>
          <w:sz w:val="21"/>
        </w:rPr>
        <w:t>Pull the risk register out of A4 strategic plan and the risk sections out of E4 business continuity plan. Score each risk again. Risks do not stay where you left them.</w:t>
      </w:r>
    </w:p>
    <w:tbl>
      <w:tblPr>
        <w:jc w:val="center"/>
        <w:tblLook w:firstColumn="1" w:firstRow="1" w:lastColumn="0" w:lastRow="0" w:noHBand="0" w:noVBand="1" w:val="04A0"/>
        <w:tblW w:w="9026" w:type="dxa"/>
        <w:tblLayout w:type="fixed"/>
      </w:tblPr>
      <w:tblGrid>
        <w:gridCol w:w="2166"/>
        <w:gridCol w:w="1083"/>
        <w:gridCol w:w="993"/>
        <w:gridCol w:w="1805"/>
        <w:gridCol w:w="1986"/>
        <w:gridCol w:w="993"/>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RISK</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SCORE LAST YEAR</w:t>
            </w:r>
          </w:p>
        </w:tc>
        <w:tc>
          <w:tcPr>
            <w:tcW w:type="dxa" w:w="99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SCORE NOW</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CHANGED</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WE DO ABOUT IT</w:t>
            </w:r>
          </w:p>
        </w:tc>
        <w:tc>
          <w:tcPr>
            <w:tcW w:type="dxa" w:w="99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OWNER</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[Cash runs out before customers pay]</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[4 x 5 = 20]</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[3 x 5 = 15]</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changed]</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action]</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[Losing our largest customer]</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[Score]</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[Score]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changed]</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action]</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[Electricity and water interruption]</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[Score]</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[Score]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changed]</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action]</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[Crime, or civil unrest]</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[Score]</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[Score]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changed]</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action]</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[Loss of a key person]</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[Score]</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[Score]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changed]</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action]</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[Data loss or a cyber incident]</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[Score]</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[Score]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changed]</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action]</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[Supplier failure]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[Score]</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[Score]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changed]</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action]</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[New risk that appeared this year]</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[Not scored]</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[Score]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changed]</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action]</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bl>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Incidents we actually had this year</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[From the E4 incident log]</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What they cost us in total</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R </w:t>
            </w:r>
            <w:r>
              <w:rPr>
                <w:rFonts w:ascii="Open Sans" w:hAnsi="Open Sans"/>
                <w:b w:val="0"/>
                <w:i w:val="0"/>
                <w:color w:val="21759B"/>
                <w:sz w:val="21"/>
              </w:rPr>
              <w:t>[amount]</w:t>
            </w:r>
            <w:r>
              <w:rPr>
                <w:rFonts w:ascii="Open Sans" w:hAnsi="Open Sans"/>
                <w:b w:val="0"/>
                <w:i w:val="0"/>
                <w:sz w:val="21"/>
              </w:rPr>
              <w:t xml:space="preserve"> and </w:t>
            </w:r>
            <w:r>
              <w:rPr>
                <w:rFonts w:ascii="Open Sans" w:hAnsi="Open Sans"/>
                <w:b w:val="0"/>
                <w:i w:val="0"/>
                <w:color w:val="21759B"/>
                <w:sz w:val="21"/>
              </w:rPr>
              <w:t>[X]</w:t>
            </w:r>
            <w:r>
              <w:rPr>
                <w:rFonts w:ascii="Open Sans" w:hAnsi="Open Sans"/>
                <w:b w:val="0"/>
                <w:i w:val="0"/>
                <w:sz w:val="21"/>
              </w:rPr>
              <w:t xml:space="preserve"> hours</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Did the continuity plan work?</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[Honestly]</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When did we last test the continuity plan?</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Next continuity plan test booked for</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p>
      <w:r>
        <w:br w:type="page"/>
      </w:r>
    </w:p>
    <w:p>
      <w:pPr>
        <w:pStyle w:val="Heading1"/>
      </w:pPr>
      <w:r>
        <w:t>Part 9. The strategic plan check</w:t>
      </w:r>
    </w:p>
    <w:p>
      <w:pPr>
        <w:spacing w:after="120" w:before="0"/>
      </w:pPr>
      <w:r>
        <w:rPr>
          <w:rFonts w:ascii="Open Sans" w:hAnsi="Open Sans"/>
          <w:b w:val="0"/>
          <w:i w:val="0"/>
          <w:sz w:val="21"/>
        </w:rPr>
        <w:t>Open A4 strategic plan at the objectives page. Take each objective as it was written, with its baseline and its target, and mark it honestly. An objective marked "in progress" for a second year is an objective that was never really owned.</w:t>
      </w:r>
    </w:p>
    <w:tbl>
      <w:tblPr>
        <w:jc w:val="center"/>
        <w:tblLook w:firstColumn="1" w:firstRow="1" w:lastColumn="0" w:lastRow="0" w:noHBand="0" w:noVBand="1" w:val="04A0"/>
        <w:tblW w:w="9026" w:type="dxa"/>
        <w:tblLayout w:type="fixed"/>
      </w:tblPr>
      <w:tblGrid>
        <w:gridCol w:w="451"/>
        <w:gridCol w:w="2708"/>
        <w:gridCol w:w="993"/>
        <w:gridCol w:w="993"/>
        <w:gridCol w:w="993"/>
        <w:gridCol w:w="993"/>
        <w:gridCol w:w="1895"/>
      </w:tblGrid>
      <w:tr>
        <w:trPr>
          <w:tblHeader w:val="true"/>
        </w:trPr>
        <w:tc>
          <w:tcPr>
            <w:tcW w:type="dxa" w:w="45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NO.</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OBJECTIVE AS WRITTEN IN A4</w:t>
            </w:r>
          </w:p>
        </w:tc>
        <w:tc>
          <w:tcPr>
            <w:tcW w:type="dxa" w:w="99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OWNER</w:t>
            </w:r>
          </w:p>
        </w:tc>
        <w:tc>
          <w:tcPr>
            <w:tcW w:type="dxa" w:w="99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BASELINE</w:t>
            </w:r>
          </w:p>
        </w:tc>
        <w:tc>
          <w:tcPr>
            <w:tcW w:type="dxa" w:w="99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TARGET</w:t>
            </w:r>
          </w:p>
        </w:tc>
        <w:tc>
          <w:tcPr>
            <w:tcW w:type="dxa" w:w="99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IT ENDED</w:t>
            </w:r>
          </w:p>
        </w:tc>
        <w:tc>
          <w:tcPr>
            <w:tcW w:type="dxa" w:w="189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MET, PARTLY MET OR NOT MET</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[Objective]</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189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[Met / Partly / Not met]</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2</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[Objective]</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189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[Met / Partly / Not met]</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[Objective]</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189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[Met / Partly / Not met]</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4</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[Objective]</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189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[Met / Partly / Not met]</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5</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[Objective]</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189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[Met / Partly / Not met]</w:t>
            </w:r>
          </w:p>
        </w:tc>
      </w:tr>
    </w:tbl>
    <w:tbl>
      <w:tblPr>
        <w:jc w:val="center"/>
        <w:tblLook w:firstColumn="1" w:firstRow="1" w:lastColumn="0" w:lastRow="0" w:noHBand="0" w:noVBand="1" w:val="04A0"/>
        <w:tblW w:w="9026" w:type="dxa"/>
        <w:tblLayout w:type="fixed"/>
      </w:tblPr>
      <w:tblGrid>
        <w:gridCol w:w="3610"/>
        <w:gridCol w:w="5416"/>
      </w:tblGrid>
      <w:tr>
        <w:trPr>
          <w:tblHeader w:val="true"/>
        </w:trPr>
        <w:tc>
          <w:tcPr>
            <w:tcW w:type="dxa" w:w="361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FOR EACH OBJECTIVE NOT MET</w:t>
            </w:r>
          </w:p>
        </w:tc>
        <w:tc>
          <w:tcPr>
            <w:tcW w:type="dxa" w:w="541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ANSWER</w:t>
            </w:r>
          </w:p>
        </w:tc>
      </w:tr>
      <w:tr>
        <w:trPr>
          <w:cantSplit/>
        </w:trPr>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What actually stopped it?</w:t>
            </w:r>
          </w:p>
        </w:tc>
        <w:tc>
          <w:tcPr>
            <w:tcW w:type="dxa" w:w="541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[Not enough time, not enough money, the wrong owner, it was never really a priority, or it turned out to be the wrong objective]</w:t>
            </w:r>
          </w:p>
        </w:tc>
      </w:tr>
      <w:tr>
        <w:trPr>
          <w:cantSplit/>
        </w:trPr>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Was it the objective, or the execution?</w:t>
            </w:r>
          </w:p>
        </w:tc>
        <w:tc>
          <w:tcPr>
            <w:tcW w:type="dxa" w:w="541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[Which one]</w:t>
            </w:r>
          </w:p>
        </w:tc>
      </w:tr>
      <w:tr>
        <w:trPr>
          <w:cantSplit/>
        </w:trPr>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Do we carry it forward, change it or drop it?</w:t>
            </w:r>
          </w:p>
        </w:tc>
        <w:tc>
          <w:tcPr>
            <w:tcW w:type="dxa" w:w="541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[Decision]</w:t>
            </w:r>
          </w:p>
        </w:tc>
      </w:tr>
      <w:tr>
        <w:trPr>
          <w:cantSplit/>
        </w:trPr>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If we carry it forward, what is different this time?</w:t>
            </w:r>
          </w:p>
        </w:tc>
        <w:tc>
          <w:tcPr>
            <w:tcW w:type="dxa" w:w="541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specific change]</w:t>
            </w:r>
          </w:p>
        </w:tc>
      </w:tr>
    </w:tbl>
    <w:p>
      <w:pPr>
        <w:pStyle w:val="Heading2"/>
      </w:pPr>
      <w:r>
        <w:t>Is the three year vision still right?</w:t>
      </w: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The vision as written in A4</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[Copy it here, word for word]</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Is it still what we want?</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[Yes / No / It needs changing because ...]</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Are we closer to it than a year ago?</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[Yes / No, and by what measure]</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What changed outside the business that affects it</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[Competitors, customers, costs, regulation, the town, technology]</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Decision</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[Keep the vision / adjust it / rewrite Part 2 of A4]</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if the answer is that the vision needs rewriting, do not do it here. Book a morning, take A4 strategic plan and do it properly with the people who will deliver it. This review's job is to notice that it is needed.</w:t>
      </w:r>
    </w:p>
    <w:p>
      <w:pPr>
        <w:pStyle w:val="Heading1"/>
      </w:pPr>
      <w:r>
        <w:t>Part 10. Goals for the year ahead</w:t>
      </w:r>
    </w:p>
    <w:p>
      <w:pPr>
        <w:spacing w:after="120" w:before="0"/>
      </w:pPr>
      <w:r>
        <w:rPr>
          <w:rFonts w:ascii="Open Sans" w:hAnsi="Open Sans"/>
          <w:b w:val="0"/>
          <w:i w:val="0"/>
          <w:sz w:val="21"/>
        </w:rPr>
        <w:t>Four to six, no more. Each one needs a number, an owner and a date, or it is a wish. Carry them into A4 strategic plan so there is one place where objectives live.</w:t>
      </w:r>
    </w:p>
    <w:tbl>
      <w:tblPr>
        <w:jc w:val="center"/>
        <w:tblLook w:firstColumn="1" w:firstRow="1" w:lastColumn="0" w:lastRow="0" w:noHBand="0" w:noVBand="1" w:val="04A0"/>
        <w:tblW w:w="9026" w:type="dxa"/>
        <w:tblLayout w:type="fixed"/>
      </w:tblPr>
      <w:tblGrid>
        <w:gridCol w:w="2166"/>
        <w:gridCol w:w="2347"/>
        <w:gridCol w:w="1264"/>
        <w:gridCol w:w="1083"/>
        <w:gridCol w:w="1173"/>
        <w:gridCol w:w="993"/>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GOAL</w:t>
            </w:r>
          </w:p>
        </w:tc>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ONE NUMBER THAT PROVES IT</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WE ARE TODAY</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TARGET</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BY WHEN</w:t>
            </w:r>
          </w:p>
        </w:tc>
        <w:tc>
          <w:tcPr>
            <w:tcW w:type="dxa" w:w="99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OWNER</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[Grow revenue]</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[Annual revenue]</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[Improve gross margin]</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[Gross margin percentage]</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[Reduce customer concentration]</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[Share of revenue from the largest customer]</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[Get paid faster]</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[Debtor days]</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days</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days</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[Build the cash reserve]</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[Months of fixed costs held in cash]</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[Goal 6]</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[Measure]</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[Today]</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[Target]</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bl>
    <w:p>
      <w:pPr>
        <w:pStyle w:val="Heading2"/>
      </w:pPr>
      <w:r>
        <w:t>What we will stop doing</w:t>
      </w:r>
    </w:p>
    <w:p>
      <w:pPr>
        <w:spacing w:after="120" w:before="0"/>
      </w:pPr>
      <w:r>
        <w:rPr>
          <w:rFonts w:ascii="Open Sans" w:hAnsi="Open Sans"/>
          <w:b w:val="0"/>
          <w:i w:val="0"/>
          <w:sz w:val="21"/>
        </w:rPr>
        <w:t>A list of new goals without a list of things you are stopping is a list of things that will not happen. Name two.</w:t>
      </w:r>
    </w:p>
    <w:tbl>
      <w:tblPr>
        <w:jc w:val="center"/>
        <w:tblLook w:firstColumn="1" w:firstRow="1" w:lastColumn="0" w:lastRow="0" w:noHBand="0" w:noVBand="1" w:val="04A0"/>
        <w:tblW w:w="9026" w:type="dxa"/>
        <w:tblLayout w:type="fixed"/>
      </w:tblPr>
      <w:tblGrid>
        <w:gridCol w:w="2708"/>
        <w:gridCol w:w="3069"/>
        <w:gridCol w:w="1805"/>
        <w:gridCol w:w="1444"/>
      </w:tblGrid>
      <w:tr>
        <w:trPr>
          <w:tblHeader w:val="true"/>
        </w:trPr>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WE WILL STOP</w:t>
            </w:r>
          </w:p>
        </w:tc>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BECAUSE</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 IT AFFECTS</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FROM WHEN</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thing]</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reason, with a number]</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[Who]</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thing]</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reason]</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[Who]</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bl>
    <w:p>
      <w:pPr>
        <w:pStyle w:val="Heading1"/>
      </w:pPr>
      <w:r>
        <w:t>Part 11. Action list</w:t>
      </w:r>
    </w:p>
    <w:p>
      <w:pPr>
        <w:spacing w:after="120" w:before="0"/>
      </w:pPr>
      <w:r>
        <w:rPr>
          <w:rFonts w:ascii="Open Sans" w:hAnsi="Open Sans"/>
          <w:b w:val="0"/>
          <w:i w:val="0"/>
          <w:sz w:val="21"/>
        </w:rPr>
        <w:t>Everything this review decided, in one place, with a name and a date against each item. Nothing goes on this list without both.</w:t>
      </w:r>
    </w:p>
    <w:tbl>
      <w:tblPr>
        <w:jc w:val="center"/>
        <w:tblLook w:firstColumn="1" w:firstRow="1" w:lastColumn="0" w:lastRow="0" w:noHBand="0" w:noVBand="1" w:val="04A0"/>
        <w:tblW w:w="9026" w:type="dxa"/>
        <w:tblLayout w:type="fixed"/>
      </w:tblPr>
      <w:tblGrid>
        <w:gridCol w:w="451"/>
        <w:gridCol w:w="3430"/>
        <w:gridCol w:w="1173"/>
        <w:gridCol w:w="1083"/>
        <w:gridCol w:w="1264"/>
        <w:gridCol w:w="993"/>
        <w:gridCol w:w="632"/>
      </w:tblGrid>
      <w:tr>
        <w:trPr>
          <w:tblHeader w:val="true"/>
        </w:trPr>
        <w:tc>
          <w:tcPr>
            <w:tcW w:type="dxa" w:w="45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r>
          </w:p>
        </w:tc>
        <w:tc>
          <w:tcPr>
            <w:tcW w:type="dxa" w:w="343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ACTION</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FROM WHICH PART</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OWNER</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BY WHEN</w:t>
            </w:r>
          </w:p>
        </w:tc>
        <w:tc>
          <w:tcPr>
            <w:tcW w:type="dxa" w:w="99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COST</w:t>
            </w:r>
          </w:p>
        </w:tc>
        <w:tc>
          <w:tcPr>
            <w:tcW w:type="dxa" w:w="63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DONE</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[Part 1 to 10]</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[Part]</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[Part]</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[Part]</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[Part]</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[Part]</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[Part]</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[Part]</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[Part]</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[Part]</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[Part]</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[Part]</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bl>
    <w:p>
      <w:pPr>
        <w:pStyle w:val="Heading2"/>
      </w:pPr>
      <w:r>
        <w:t>The first 90 days</w:t>
      </w:r>
    </w:p>
    <w:p>
      <w:pPr>
        <w:spacing w:after="120" w:before="0"/>
      </w:pPr>
      <w:r>
        <w:rPr>
          <w:rFonts w:ascii="Open Sans" w:hAnsi="Open Sans"/>
          <w:b w:val="0"/>
          <w:i w:val="0"/>
          <w:sz w:val="21"/>
        </w:rPr>
        <w:t>Pick five actions from the list above that can be finished inside 90 days and that make the rest easier. Momentum beats completeness.</w:t>
      </w:r>
    </w:p>
    <w:tbl>
      <w:tblPr>
        <w:jc w:val="center"/>
        <w:tblLook w:firstColumn="1" w:firstRow="1" w:lastColumn="0" w:lastRow="0" w:noHBand="0" w:noVBand="1" w:val="04A0"/>
        <w:tblW w:w="9026" w:type="dxa"/>
        <w:tblLayout w:type="fixed"/>
      </w:tblPr>
      <w:tblGrid>
        <w:gridCol w:w="542"/>
        <w:gridCol w:w="4874"/>
        <w:gridCol w:w="1444"/>
        <w:gridCol w:w="1444"/>
        <w:gridCol w:w="722"/>
      </w:tblGrid>
      <w:tr>
        <w:trPr>
          <w:tblHeader w:val="true"/>
        </w:trPr>
        <w:tc>
          <w:tcPr>
            <w:tcW w:type="dxa" w:w="54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r>
          </w:p>
        </w:tc>
        <w:tc>
          <w:tcPr>
            <w:tcW w:type="dxa" w:w="487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ACTION</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OWNER</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BY WHEN</w:t>
            </w:r>
          </w:p>
        </w:tc>
        <w:tc>
          <w:tcPr>
            <w:tcW w:type="dxa" w:w="72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DONE</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487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487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487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487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487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bl>
    <w:p>
      <w:pPr>
        <w:pStyle w:val="Heading2"/>
      </w:pPr>
      <w:r>
        <w:t>How we will keep this alive</w:t>
      </w:r>
    </w:p>
    <w:tbl>
      <w:tblPr>
        <w:jc w:val="center"/>
        <w:tblLook w:firstColumn="1" w:firstRow="1" w:lastColumn="0" w:lastRow="0" w:noHBand="0" w:noVBand="1" w:val="04A0"/>
        <w:tblW w:w="9025" w:type="dxa"/>
        <w:tblLayout w:type="fixed"/>
      </w:tblPr>
      <w:tblGrid>
        <w:gridCol w:w="1805"/>
        <w:gridCol w:w="1173"/>
        <w:gridCol w:w="2166"/>
        <w:gridCol w:w="1173"/>
        <w:gridCol w:w="2708"/>
      </w:tblGrid>
      <w:tr>
        <w:trPr>
          <w:tblHeader w:val="true"/>
        </w:trPr>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REVIEW</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OFTEN</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 IS THERE</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LONG</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GETS CHECKED</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Numbers check</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Monthly</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[Owner and bookkeeper]</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30 minutes</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Revenue, cash, debtors, and anything over budget</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Action list review</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Monthly</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[Owner and action owners]</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20 minutes</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Every open action on the list above</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Quarterly review</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Quarterly</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[Owner and goal owners]</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2 hours</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Goals against target, and A4 strategic plan scorecard</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Continuity plan test</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Annually</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[Everyone]</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 hour</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E4 business continuity plan</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This annual review</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Annually</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[Owner, bookkeeper, goal owners]</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Half a day</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All of it</w:t>
            </w:r>
          </w:p>
        </w:tc>
      </w:tr>
    </w:tbl>
    <w:p>
      <w:pPr>
        <w:spacing w:after="80"/>
      </w:pP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Review completed by</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 and designation]</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Signature</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[Sign here]</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Action list circulated to</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[Names]</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First monthly action review</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Next annual review</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keep last year's completed review next to this year's. Reading the two side by side is the fastest honest assessment of the business you will ever get, and it takes ten minutes.</w:t>
      </w:r>
    </w:p>
    <w:sectPr w:rsidR="00FC693F" w:rsidRPr="0006063C" w:rsidSect="00034616">
      <w:headerReference w:type="default" r:id="rId9"/>
      <w:footerReference w:type="default" r:id="rId10"/>
      <w:pgSz w:w="11906" w:h="16838"/>
      <w:pgMar w:top="1440" w:right="1440" w:bottom="1440" w:left="1440" w:header="709"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
      <w:rPr>
        <w:rFonts w:ascii="Open Sans" w:hAnsi="Open Sans"/>
        <w:color w:val="6B6870"/>
        <w:sz w:val="16"/>
      </w:rPr>
      <w:t>Powered by Digitise SA | digitisesa.co.za | Free for South African entrepreneurs</w:t>
    </w:r>
  </w:p>
  <w:p>
    <w:pPr>
      <w:spacing w:before="0" w:after="0"/>
      <w:jc w:val="right"/>
    </w:pPr>
    <w:r>
      <w:rPr>
        <w:rFonts w:ascii="Open Sans" w:hAnsi="Open Sans"/>
        <w:color w:val="6B6870"/>
        <w:sz w:val="16"/>
      </w:rPr>
      <w:t xml:space="preserve">Page </w:t>
    </w:r>
    <w:r>
      <w:rPr>
        <w:rFonts w:ascii="Open Sans" w:hAnsi="Open Sans"/>
        <w:color w:val="6B6870"/>
        <w:sz w:val="16"/>
      </w:rPr>
      <w:fldChar w:fldCharType="begin"/>
    </w:r>
    <w:r>
      <w:rPr>
        <w:rFonts w:ascii="Open Sans" w:hAnsi="Open Sans"/>
        <w:color w:val="6B6870"/>
        <w:sz w:val="16"/>
      </w:rPr>
      <w:instrText xml:space="preserve"> PAGE </w:instrText>
    </w:r>
    <w:r>
      <w:rPr>
        <w:rFonts w:ascii="Open Sans" w:hAnsi="Open Sans"/>
        <w:color w:val="6B6870"/>
        <w:sz w:val="16"/>
      </w:rPr>
      <w:fldChar w:fldCharType="end"/>
    </w:r>
    <w:r>
      <w:rPr>
        <w:rFonts w:ascii="Open Sans" w:hAnsi="Open Sans"/>
        <w:color w:val="6B6870"/>
        <w:sz w:val="16"/>
      </w:rPr>
      <w:t xml:space="preserve"> of </w:t>
    </w:r>
    <w:r>
      <w:rPr>
        <w:rFonts w:ascii="Open Sans" w:hAnsi="Open Sans"/>
        <w:color w:val="6B6870"/>
        <w:sz w:val="16"/>
      </w:rPr>
      <w:fldChar w:fldCharType="begin"/>
    </w:r>
    <w:r>
      <w:rPr>
        <w:rFonts w:ascii="Open Sans" w:hAnsi="Open Sans"/>
        <w:color w:val="6B6870"/>
        <w:sz w:val="16"/>
      </w:rPr>
      <w:instrText xml:space="preserve"> NUMPAGES </w:instrText>
    </w:r>
    <w:r>
      <w:rPr>
        <w:rFonts w:ascii="Open Sans" w:hAnsi="Open Sans"/>
        <w:color w:val="6B6870"/>
        <w:sz w:val="16"/>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dxa" w:w="9025"/>
      <w:jc w:val="center"/>
      <w:tblLayout w:type="fixed"/>
      <w:tblLook w:firstColumn="1" w:firstRow="1" w:lastColumn="0" w:lastRow="0" w:noHBand="0" w:noVBand="1" w:val="04A0"/>
    </w:tblPr>
    <w:tblGrid>
      <w:gridCol w:w="4061"/>
      <w:gridCol w:w="4964"/>
    </w:tblGrid>
    <w:tr>
      <w:tc>
        <w:tcPr>
          <w:tcW w:type="dxa" w:w="4062"/>
          <w:tcMar>
            <w:top w:w="0" w:type="dxa"/>
            <w:left w:w="0" w:type="dxa"/>
            <w:bottom w:w="40" w:type="dxa"/>
            <w:right w:w="0" w:type="dxa"/>
          </w:tcMar>
        </w:tcPr>
        <w:p>
          <w:pPr>
            <w:spacing w:after="0"/>
          </w:pPr>
          <w:r>
            <w:rPr>
              <w:rFonts w:ascii="Open Sans" w:hAnsi="Open Sans"/>
              <w:i/>
              <w:color w:val="21759B"/>
              <w:sz w:val="18"/>
            </w:rPr>
            <w:t>[ Insert your company logo here ]</w:t>
          </w:r>
        </w:p>
      </w:tc>
      <w:tc>
        <w:tcPr>
          <w:tcW w:type="dxa" w:w="4964"/>
          <w:tcMar>
            <w:top w:w="0" w:type="dxa"/>
            <w:left w:w="0" w:type="dxa"/>
            <w:bottom w:w="40" w:type="dxa"/>
            <w:right w:w="0" w:type="dxa"/>
          </w:tcMar>
        </w:tcPr>
        <w:p>
          <w:pPr>
            <w:spacing w:after="0" w:line="240" w:lineRule="auto"/>
            <w:jc w:val="right"/>
          </w:pPr>
          <w:r>
            <w:rPr>
              <w:rFonts w:ascii="Montserrat" w:hAnsi="Montserrat"/>
              <w:b/>
              <w:color w:val="21759B"/>
              <w:sz w:val="22"/>
            </w:rPr>
            <w:t>[YOUR COMPANY NAME]</w:t>
          </w:r>
        </w:p>
        <w:p>
          <w:pPr>
            <w:spacing w:after="0" w:line="240" w:lineRule="auto"/>
            <w:jc w:val="right"/>
          </w:pPr>
          <w:r>
            <w:rPr>
              <w:rFonts w:ascii="Open Sans" w:hAnsi="Open Sans"/>
              <w:b w:val="0"/>
              <w:color w:val="21759B"/>
              <w:sz w:val="16"/>
            </w:rPr>
            <w:t>Reg No: [XXXX/XXXXXX/XX]</w:t>
          </w:r>
        </w:p>
        <w:p>
          <w:pPr>
            <w:spacing w:after="0" w:line="240" w:lineRule="auto"/>
            <w:jc w:val="right"/>
          </w:pPr>
          <w:r>
            <w:rPr>
              <w:rFonts w:ascii="Open Sans" w:hAnsi="Open Sans"/>
              <w:b w:val="0"/>
              <w:color w:val="21759B"/>
              <w:sz w:val="16"/>
            </w:rPr>
            <w:t>VAT No: [4XXXXXXXXX] (if VAT registered)</w:t>
          </w:r>
        </w:p>
        <w:p>
          <w:pPr>
            <w:spacing w:after="0" w:line="240" w:lineRule="auto"/>
            <w:jc w:val="right"/>
          </w:pPr>
          <w:r>
            <w:rPr>
              <w:rFonts w:ascii="Open Sans" w:hAnsi="Open Sans"/>
              <w:b w:val="0"/>
              <w:color w:val="21759B"/>
              <w:sz w:val="16"/>
            </w:rPr>
            <w:t>[email@yourbusiness.co.za]</w:t>
          </w:r>
        </w:p>
        <w:p>
          <w:pPr>
            <w:spacing w:after="0" w:line="240" w:lineRule="auto"/>
            <w:jc w:val="right"/>
          </w:pPr>
          <w:r>
            <w:rPr>
              <w:rFonts w:ascii="Open Sans" w:hAnsi="Open Sans"/>
              <w:b w:val="0"/>
              <w:color w:val="21759B"/>
              <w:sz w:val="16"/>
            </w:rPr>
            <w:t>[Phone number]</w:t>
          </w:r>
        </w:p>
      </w:tc>
    </w:tr>
  </w:tbl>
  <w:p>
    <w:pPr>
      <w:spacing w:before="40" w:after="0"/>
      <w:pBdr>
        <w:bottom w:val="single" w:sz="8" w:space="1" w:color="D7B428"/>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sz w:val="22"/>
        <w:szCs w:val="22"/>
        <w:lang w:val="en-US" w:eastAsia="en-US" w:bidi="ar-SA"/>
      </w:rPr>
    </w:rPrDefault>
    <w:pPrDefault>
      <w:pPr>
        <w:spacing w:after="200" w:line="276" w:lineRule="auto"/>
      </w:pPr>
    </w:pPrDefault>
  </w:docDefaults>
  <w:style w:type="paragraph" w:default="1" w:styleId="Normal">
    <w:name w:val="Normal"/>
    <w:qFormat/>
    <w:rsid w:val="00FC693F"/>
    <w:pPr>
      <w:spacing w:lineRule="auto" w:line="276" w:after="120" w:before="0"/>
    </w:pPr>
    <w:rPr>
      <w:rFonts w:ascii="Open Sans" w:hAnsi="Open Sans" w:cs="Open Sans" w:eastAsia="Open Sans"/>
      <w:color w:val="222222"/>
      <w:sz w:val="21"/>
    </w:rPr>
  </w:style>
  <w:style w:type="paragraph" w:styleId="Heading1">
    <w:name w:val="heading 1"/>
    <w:basedOn w:val="Normal"/>
    <w:next w:val="Normal"/>
    <w:link w:val="Heading1Char"/>
    <w:uiPriority w:val="9"/>
    <w:qFormat/>
    <w:rsid w:val="00FC693F"/>
    <w:pPr>
      <w:keepNext/>
      <w:keepLines/>
      <w:spacing w:before="280" w:after="120"/>
      <w:outlineLvl w:val="0"/>
    </w:pPr>
    <w:rPr>
      <w:rFonts w:ascii="Montserrat" w:hAnsi="Montserrat" w:cs="Montserrat" w:eastAsia="Montserrat"/>
      <w:b/>
      <w:bCs/>
      <w:color w:val="191C4A"/>
      <w:sz w:val="30"/>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Montserrat" w:hAnsi="Montserrat" w:cs="Montserrat" w:eastAsia="Montserrat"/>
      <w:b/>
      <w:bCs/>
      <w:color w:val="191C4A"/>
      <w:sz w:val="24"/>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Montserrat" w:hAnsi="Montserrat" w:cs="Montserrat" w:eastAsia="Montserrat"/>
      <w:b/>
      <w:bCs/>
      <w:color w:val="21759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93F"/>
    <w:rPr>
      <w:rFonts/>
      <w:b/>
      <w:bCs/>
      <w:color w:val="191C4A"/>
      <w:sz w:val="28"/>
      <w:szCs w:val="28"/>
    </w:rPr>
  </w:style>
  <w:style w:type="character" w:customStyle="1" w:styleId="Heading2Char">
    <w:name w:val="Heading 2 Char"/>
    <w:basedOn w:val="DefaultParagraphFont"/>
    <w:link w:val="Heading2"/>
    <w:uiPriority w:val="9"/>
    <w:rsid w:val="00FC693F"/>
    <w:rPr>
      <w:rFonts/>
      <w:b/>
      <w:bCs/>
      <w:color w:val="191C4A"/>
      <w:sz w:val="26"/>
      <w:szCs w:val="26"/>
    </w:rPr>
  </w:style>
  <w:style w:type="character" w:customStyle="1" w:styleId="Heading3Char">
    <w:name w:val="Heading 3 Char"/>
    <w:basedOn w:val="DefaultParagraphFont"/>
    <w:link w:val="Heading3"/>
    <w:uiPriority w:val="9"/>
    <w:rsid w:val="00FC693F"/>
    <w:rPr>
      <w:rFonts/>
      <w:b/>
      <w:bCs/>
      <w:color w:val="191C4A"/>
    </w:rPr>
  </w:style>
  <w:style w:type="paragraph" w:styleId="ListParagraph">
    <w:name w:val="List Paragraph"/>
    <w:basedOn w:val="Normal"/>
    <w:uiPriority w:val="34"/>
    <w:qFormat/>
    <w:rsid w:val="00FC693F"/>
    <w:pPr>
      <w:ind w:left="720"/>
      <w:contextualSpacing/>
    </w:pPr>
  </w:style>
  <w:style w:type="paragraph" w:styleId="ListBullet">
    <w:name w:val="List Bullet"/>
    <w:basedOn w:val="Normal"/>
    <w:uiPriority w:val="99"/>
    <w:unhideWhenUsed/>
    <w:rsid w:val="00326F90"/>
    <w:pPr>
      <w:numPr>
        <w:numId w:val="1"/>
      </w:numPr>
      <w:contextualSpacing/>
    </w:pPr>
  </w:style>
  <w:style w:type="paragraph" w:styleId="ListNumber">
    <w:name w:val="List Number"/>
    <w:basedOn w:val="Normal"/>
    <w:uiPriority w:val="99"/>
    <w:unhideWhenUsed/>
    <w:rsid w:val="00326F90"/>
    <w:pPr>
      <w:numPr>
        <w:numId w:val="5"/>
      </w:numPr>
      <w:contextualSpacing/>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